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206" w:type="dxa"/>
        <w:tblLayout w:type="fixed"/>
        <w:tblLook w:val="0400" w:firstRow="0" w:lastRow="0" w:firstColumn="0" w:lastColumn="0" w:noHBand="0" w:noVBand="1"/>
      </w:tblPr>
      <w:tblGrid>
        <w:gridCol w:w="10206"/>
      </w:tblGrid>
      <w:tr w:rsidR="0077631D" w:rsidRPr="003638C8" w14:paraId="7FF7366A" w14:textId="77777777" w:rsidTr="00CA32AE">
        <w:trPr>
          <w:trHeight w:val="340"/>
        </w:trPr>
        <w:tc>
          <w:tcPr>
            <w:tcW w:w="10206" w:type="dxa"/>
          </w:tcPr>
          <w:p w14:paraId="665882EC" w14:textId="77777777" w:rsidR="00CA78A6" w:rsidRDefault="00B63E6D" w:rsidP="003638C8">
            <w:pPr>
              <w:ind w:left="-105"/>
              <w:jc w:val="both"/>
              <w:rPr>
                <w:rFonts w:ascii="Book Antiqua" w:eastAsia="Book Antiqua" w:hAnsi="Book Antiqua" w:cs="Book Antiqua"/>
                <w:sz w:val="36"/>
                <w:szCs w:val="36"/>
              </w:rPr>
            </w:pPr>
            <w:r w:rsidRPr="003638C8">
              <w:rPr>
                <w:rFonts w:ascii="Book Antiqua" w:eastAsia="Book Antiqua" w:hAnsi="Book Antiqua" w:cs="Book Antiqua"/>
                <w:sz w:val="36"/>
                <w:szCs w:val="36"/>
              </w:rPr>
              <w:t>Spatial Pattern Analysis of Schmidt–Ferguson Climate Classification in Gorontalo Province Based on Rainfall Data</w:t>
            </w:r>
          </w:p>
          <w:p w14:paraId="7CF28C24" w14:textId="77777777" w:rsidR="006F4177" w:rsidRPr="006F4177" w:rsidRDefault="006F4177" w:rsidP="003638C8">
            <w:pPr>
              <w:ind w:left="-105"/>
              <w:jc w:val="both"/>
              <w:rPr>
                <w:rFonts w:ascii="Book Antiqua" w:eastAsia="Book Antiqua" w:hAnsi="Book Antiqua" w:cs="Book Antiqua"/>
                <w:color w:val="C00000"/>
                <w:sz w:val="20"/>
                <w:szCs w:val="20"/>
              </w:rPr>
            </w:pPr>
          </w:p>
        </w:tc>
      </w:tr>
      <w:tr w:rsidR="0077631D" w:rsidRPr="00E33855" w14:paraId="3CD0AB2D" w14:textId="77777777" w:rsidTr="00CA32AE">
        <w:trPr>
          <w:trHeight w:val="340"/>
        </w:trPr>
        <w:tc>
          <w:tcPr>
            <w:tcW w:w="10206" w:type="dxa"/>
          </w:tcPr>
          <w:p w14:paraId="14B03C06" w14:textId="41720707" w:rsidR="002C0E55" w:rsidRPr="002C0E55" w:rsidRDefault="00CA78A6" w:rsidP="006F4177">
            <w:pPr>
              <w:ind w:left="-105"/>
              <w:rPr>
                <w:rFonts w:ascii="Book Antiqua" w:eastAsia="Book Antiqua" w:hAnsi="Book Antiqua" w:cs="Book Antiqua"/>
                <w:sz w:val="22"/>
                <w:szCs w:val="22"/>
                <w:vertAlign w:val="superscript"/>
                <w:lang w:val="pt-BR"/>
              </w:rPr>
            </w:pPr>
            <w:r w:rsidRPr="00950C1C">
              <w:rPr>
                <w:rFonts w:ascii="Book Antiqua" w:eastAsia="Book Antiqua" w:hAnsi="Book Antiqua" w:cs="Book Antiqua"/>
                <w:sz w:val="22"/>
                <w:szCs w:val="22"/>
                <w:lang w:val="pt-BR"/>
              </w:rPr>
              <w:t>Gifari S Pratama</w:t>
            </w:r>
            <w:r w:rsidR="002C0E55">
              <w:rPr>
                <w:rFonts w:ascii="Book Antiqua" w:eastAsia="Book Antiqua" w:hAnsi="Book Antiqua" w:cs="Book Antiqua"/>
                <w:sz w:val="22"/>
                <w:szCs w:val="22"/>
                <w:lang w:val="pt-BR"/>
              </w:rPr>
              <w:t>¹</w:t>
            </w:r>
            <w:r w:rsidRPr="00950C1C">
              <w:rPr>
                <w:rFonts w:ascii="Book Antiqua" w:eastAsia="Book Antiqua" w:hAnsi="Book Antiqua" w:cs="Book Antiqua"/>
                <w:sz w:val="22"/>
                <w:szCs w:val="22"/>
                <w:lang w:val="pt-BR"/>
              </w:rPr>
              <w:t>, Ahmad Syamsu Rijal S</w:t>
            </w:r>
            <w:r w:rsidR="0037491E">
              <w:rPr>
                <w:rFonts w:ascii="Book Antiqua" w:eastAsia="Book Antiqua" w:hAnsi="Book Antiqua" w:cs="Book Antiqua"/>
                <w:sz w:val="22"/>
                <w:szCs w:val="22"/>
                <w:lang w:val="pt-BR"/>
              </w:rPr>
              <w:t>²</w:t>
            </w:r>
            <w:r w:rsidR="006D4B26" w:rsidRPr="006F4177">
              <w:rPr>
                <w:rFonts w:ascii="Book Antiqua" w:eastAsia="Book Antiqua" w:hAnsi="Book Antiqua" w:cs="Book Antiqua"/>
                <w:sz w:val="22"/>
                <w:szCs w:val="22"/>
                <w:vertAlign w:val="superscript"/>
                <w:lang w:val="pt-BR"/>
              </w:rPr>
              <w:t>*</w:t>
            </w:r>
            <w:r w:rsidRPr="007F64DF">
              <w:rPr>
                <w:rFonts w:ascii="Book Antiqua" w:eastAsia="Book Antiqua" w:hAnsi="Book Antiqua" w:cs="Book Antiqua"/>
                <w:sz w:val="22"/>
                <w:szCs w:val="22"/>
                <w:lang w:val="pt-BR"/>
              </w:rPr>
              <w:t>, Talha Dangkua</w:t>
            </w:r>
            <w:r w:rsidR="0037491E">
              <w:rPr>
                <w:rFonts w:ascii="Book Antiqua" w:eastAsia="Book Antiqua" w:hAnsi="Book Antiqua" w:cs="Book Antiqua"/>
                <w:sz w:val="22"/>
                <w:szCs w:val="22"/>
                <w:lang w:val="pt-BR"/>
              </w:rPr>
              <w:t>²</w:t>
            </w:r>
            <w:r w:rsidR="000665E4" w:rsidRPr="007F64DF">
              <w:rPr>
                <w:rFonts w:ascii="Book Antiqua" w:eastAsia="Book Antiqua" w:hAnsi="Book Antiqua" w:cs="Book Antiqua"/>
                <w:sz w:val="22"/>
                <w:szCs w:val="22"/>
                <w:lang w:val="pt-BR"/>
              </w:rPr>
              <w:t xml:space="preserve">, </w:t>
            </w:r>
            <w:r w:rsidR="000665E4" w:rsidRPr="00950C1C">
              <w:rPr>
                <w:rFonts w:ascii="Book Antiqua" w:eastAsia="Book Antiqua" w:hAnsi="Book Antiqua" w:cs="Book Antiqua"/>
                <w:sz w:val="22"/>
                <w:szCs w:val="22"/>
                <w:lang w:val="pt-BR"/>
              </w:rPr>
              <w:t>Dewa Oka Suparwata</w:t>
            </w:r>
            <w:r w:rsidR="0037491E">
              <w:rPr>
                <w:rFonts w:ascii="Book Antiqua" w:eastAsia="Book Antiqua" w:hAnsi="Book Antiqua" w:cs="Book Antiqua"/>
                <w:sz w:val="22"/>
                <w:szCs w:val="22"/>
                <w:lang w:val="pt-BR"/>
              </w:rPr>
              <w:t>³</w:t>
            </w:r>
          </w:p>
          <w:p w14:paraId="6EFDBD64" w14:textId="77777777" w:rsidR="006F4177" w:rsidRDefault="006F4177" w:rsidP="00BF4E56">
            <w:pPr>
              <w:tabs>
                <w:tab w:val="left" w:pos="2880"/>
              </w:tabs>
              <w:ind w:left="-105"/>
              <w:jc w:val="both"/>
              <w:rPr>
                <w:rFonts w:ascii="Book Antiqua" w:eastAsia="Book Antiqua" w:hAnsi="Book Antiqua" w:cs="Book Antiqua"/>
                <w:sz w:val="16"/>
                <w:szCs w:val="16"/>
                <w:lang w:val="pt-BR"/>
              </w:rPr>
            </w:pPr>
          </w:p>
          <w:p w14:paraId="4BDBE657" w14:textId="17579127" w:rsidR="00BF4E56" w:rsidRPr="006F4177" w:rsidRDefault="00950C1C" w:rsidP="00BF4E56">
            <w:pPr>
              <w:tabs>
                <w:tab w:val="left" w:pos="2880"/>
              </w:tabs>
              <w:ind w:left="-105"/>
              <w:jc w:val="both"/>
              <w:rPr>
                <w:rFonts w:ascii="Book Antiqua" w:eastAsia="Book Antiqua" w:hAnsi="Book Antiqua" w:cs="Book Antiqua"/>
                <w:sz w:val="16"/>
                <w:szCs w:val="16"/>
                <w:lang w:val="pt-BR"/>
              </w:rPr>
            </w:pPr>
            <w:r w:rsidRPr="006F4177">
              <w:rPr>
                <w:rFonts w:ascii="Book Antiqua" w:eastAsia="Book Antiqua" w:hAnsi="Book Antiqua" w:cs="Book Antiqua"/>
                <w:sz w:val="16"/>
                <w:szCs w:val="16"/>
                <w:lang w:val="pt-BR"/>
              </w:rPr>
              <w:t>¹</w:t>
            </w:r>
            <w:r w:rsidR="006F4177">
              <w:rPr>
                <w:rFonts w:ascii="Book Antiqua" w:eastAsia="Book Antiqua" w:hAnsi="Book Antiqua" w:cs="Book Antiqua"/>
                <w:sz w:val="16"/>
                <w:szCs w:val="16"/>
                <w:lang w:val="pt-BR"/>
              </w:rPr>
              <w:t xml:space="preserve"> </w:t>
            </w:r>
            <w:r w:rsidR="00CA78A6" w:rsidRPr="006F4177">
              <w:rPr>
                <w:rFonts w:ascii="Book Antiqua" w:eastAsia="Book Antiqua" w:hAnsi="Book Antiqua" w:cs="Book Antiqua"/>
                <w:sz w:val="16"/>
                <w:szCs w:val="16"/>
                <w:lang w:val="pt-BR"/>
              </w:rPr>
              <w:t xml:space="preserve">Student </w:t>
            </w:r>
            <w:r w:rsidR="000665E4" w:rsidRPr="006F4177">
              <w:rPr>
                <w:rFonts w:ascii="Book Antiqua" w:eastAsia="Book Antiqua" w:hAnsi="Book Antiqua" w:cs="Book Antiqua"/>
                <w:sz w:val="16"/>
                <w:szCs w:val="16"/>
                <w:lang w:val="pt-BR"/>
              </w:rPr>
              <w:t>in</w:t>
            </w:r>
            <w:r w:rsidR="00CA78A6" w:rsidRPr="006F4177">
              <w:rPr>
                <w:rFonts w:ascii="Book Antiqua" w:eastAsia="Book Antiqua" w:hAnsi="Book Antiqua" w:cs="Book Antiqua"/>
                <w:sz w:val="16"/>
                <w:szCs w:val="16"/>
                <w:lang w:val="pt-BR"/>
              </w:rPr>
              <w:t xml:space="preserve"> Geography</w:t>
            </w:r>
            <w:r w:rsidR="00726907" w:rsidRPr="006F4177">
              <w:rPr>
                <w:rFonts w:ascii="Book Antiqua" w:eastAsia="Book Antiqua" w:hAnsi="Book Antiqua" w:cs="Book Antiqua"/>
                <w:sz w:val="16"/>
                <w:szCs w:val="16"/>
                <w:lang w:val="pt-BR"/>
              </w:rPr>
              <w:t xml:space="preserve"> </w:t>
            </w:r>
            <w:r w:rsidR="00E03603" w:rsidRPr="006F4177">
              <w:rPr>
                <w:rFonts w:ascii="Book Antiqua" w:eastAsia="Book Antiqua" w:hAnsi="Book Antiqua" w:cs="Book Antiqua"/>
                <w:sz w:val="16"/>
                <w:szCs w:val="16"/>
                <w:lang w:val="pt-BR"/>
              </w:rPr>
              <w:t>Study Program</w:t>
            </w:r>
            <w:r w:rsidR="00CA78A6" w:rsidRPr="006F4177">
              <w:rPr>
                <w:rFonts w:ascii="Book Antiqua" w:eastAsia="Book Antiqua" w:hAnsi="Book Antiqua" w:cs="Book Antiqua"/>
                <w:sz w:val="16"/>
                <w:szCs w:val="16"/>
                <w:lang w:val="pt-BR"/>
              </w:rPr>
              <w:t xml:space="preserve">, </w:t>
            </w:r>
            <w:r w:rsidR="00E03603" w:rsidRPr="006F4177">
              <w:rPr>
                <w:rFonts w:ascii="Book Antiqua" w:eastAsia="Book Antiqua" w:hAnsi="Book Antiqua" w:cs="Book Antiqua"/>
                <w:sz w:val="16"/>
                <w:szCs w:val="16"/>
                <w:lang w:val="pt-BR"/>
              </w:rPr>
              <w:t>Universitas</w:t>
            </w:r>
            <w:r w:rsidR="00726907" w:rsidRPr="006F4177">
              <w:rPr>
                <w:rFonts w:ascii="Book Antiqua" w:eastAsia="Book Antiqua" w:hAnsi="Book Antiqua" w:cs="Book Antiqua"/>
                <w:sz w:val="16"/>
                <w:szCs w:val="16"/>
                <w:lang w:val="pt-BR"/>
              </w:rPr>
              <w:t xml:space="preserve"> </w:t>
            </w:r>
            <w:r w:rsidR="00CA78A6" w:rsidRPr="006F4177">
              <w:rPr>
                <w:rFonts w:ascii="Book Antiqua" w:eastAsia="Book Antiqua" w:hAnsi="Book Antiqua" w:cs="Book Antiqua"/>
                <w:sz w:val="16"/>
                <w:szCs w:val="16"/>
                <w:lang w:val="pt-BR"/>
              </w:rPr>
              <w:t>Muhammadiyah Gorontalo, Gorontalo, Indonesia.</w:t>
            </w:r>
          </w:p>
          <w:p w14:paraId="041FE9A7" w14:textId="15684755" w:rsidR="0037491E" w:rsidRPr="006F4177" w:rsidRDefault="0037491E" w:rsidP="00BF4E56">
            <w:pPr>
              <w:tabs>
                <w:tab w:val="left" w:pos="2880"/>
              </w:tabs>
              <w:ind w:left="-105"/>
              <w:jc w:val="both"/>
              <w:rPr>
                <w:rFonts w:ascii="Book Antiqua" w:eastAsia="Book Antiqua" w:hAnsi="Book Antiqua" w:cs="Book Antiqua"/>
                <w:sz w:val="16"/>
                <w:szCs w:val="16"/>
                <w:lang w:val="pt-BR"/>
              </w:rPr>
            </w:pPr>
            <w:r w:rsidRPr="006F4177">
              <w:rPr>
                <w:rFonts w:ascii="Book Antiqua" w:eastAsia="Book Antiqua" w:hAnsi="Book Antiqua" w:cs="Book Antiqua"/>
                <w:sz w:val="16"/>
                <w:szCs w:val="16"/>
                <w:lang w:val="pt-BR"/>
              </w:rPr>
              <w:t>²</w:t>
            </w:r>
            <w:r w:rsidR="006F4177">
              <w:rPr>
                <w:rFonts w:ascii="Book Antiqua" w:eastAsia="Book Antiqua" w:hAnsi="Book Antiqua" w:cs="Book Antiqua"/>
                <w:sz w:val="16"/>
                <w:szCs w:val="16"/>
                <w:lang w:val="pt-BR"/>
              </w:rPr>
              <w:t xml:space="preserve"> </w:t>
            </w:r>
            <w:r w:rsidRPr="006F4177">
              <w:rPr>
                <w:rFonts w:ascii="Book Antiqua" w:eastAsia="Book Antiqua" w:hAnsi="Book Antiqua" w:cs="Book Antiqua"/>
                <w:sz w:val="16"/>
                <w:szCs w:val="16"/>
                <w:lang w:val="pt-BR"/>
              </w:rPr>
              <w:t>Geography Study Program, Universitas Muhammadiyah Gorontalo, Gorontalo, Indonesia.</w:t>
            </w:r>
          </w:p>
          <w:p w14:paraId="007EEA00" w14:textId="77777777" w:rsidR="000665E4" w:rsidRDefault="0037491E" w:rsidP="00BF4E56">
            <w:pPr>
              <w:tabs>
                <w:tab w:val="left" w:pos="2880"/>
              </w:tabs>
              <w:ind w:left="-105"/>
              <w:jc w:val="both"/>
              <w:rPr>
                <w:rFonts w:ascii="Book Antiqua" w:eastAsia="Book Antiqua" w:hAnsi="Book Antiqua" w:cs="Book Antiqua"/>
                <w:sz w:val="20"/>
                <w:szCs w:val="20"/>
                <w:vertAlign w:val="superscript"/>
                <w:lang w:val="pt-BR"/>
              </w:rPr>
            </w:pPr>
            <w:r w:rsidRPr="006F4177">
              <w:rPr>
                <w:rFonts w:ascii="Book Antiqua" w:eastAsia="Book Antiqua" w:hAnsi="Book Antiqua" w:cs="Book Antiqua"/>
                <w:sz w:val="16"/>
                <w:szCs w:val="16"/>
                <w:lang w:val="pt-BR"/>
              </w:rPr>
              <w:t>³</w:t>
            </w:r>
            <w:r w:rsidR="006F4177">
              <w:rPr>
                <w:rFonts w:ascii="Book Antiqua" w:eastAsia="Book Antiqua" w:hAnsi="Book Antiqua" w:cs="Book Antiqua"/>
                <w:sz w:val="16"/>
                <w:szCs w:val="16"/>
                <w:lang w:val="pt-BR"/>
              </w:rPr>
              <w:t xml:space="preserve"> </w:t>
            </w:r>
            <w:r w:rsidR="000665E4" w:rsidRPr="006F4177">
              <w:rPr>
                <w:rFonts w:ascii="Book Antiqua" w:eastAsia="Book Antiqua" w:hAnsi="Book Antiqua" w:cs="Book Antiqua"/>
                <w:sz w:val="16"/>
                <w:szCs w:val="16"/>
                <w:lang w:val="pt-BR"/>
              </w:rPr>
              <w:t xml:space="preserve">Agribusiness </w:t>
            </w:r>
            <w:r w:rsidR="00E03603" w:rsidRPr="006F4177">
              <w:rPr>
                <w:rFonts w:ascii="Book Antiqua" w:eastAsia="Book Antiqua" w:hAnsi="Book Antiqua" w:cs="Book Antiqua"/>
                <w:sz w:val="16"/>
                <w:szCs w:val="16"/>
                <w:lang w:val="pt-BR"/>
              </w:rPr>
              <w:t>Study Program, Universitas</w:t>
            </w:r>
            <w:r w:rsidR="000665E4" w:rsidRPr="006F4177">
              <w:rPr>
                <w:rFonts w:ascii="Book Antiqua" w:eastAsia="Book Antiqua" w:hAnsi="Book Antiqua" w:cs="Book Antiqua"/>
                <w:sz w:val="16"/>
                <w:szCs w:val="16"/>
                <w:lang w:val="pt-BR"/>
              </w:rPr>
              <w:t xml:space="preserve"> Muhammadiyah Gorontalo, Gorontalo, Indonesia.</w:t>
            </w:r>
            <w:r w:rsidR="007D2DEB" w:rsidRPr="003D72DD">
              <w:rPr>
                <w:rFonts w:ascii="Book Antiqua" w:eastAsia="Book Antiqua" w:hAnsi="Book Antiqua" w:cs="Book Antiqua"/>
                <w:sz w:val="20"/>
                <w:szCs w:val="20"/>
                <w:vertAlign w:val="superscript"/>
                <w:lang w:val="pt-BR"/>
              </w:rPr>
              <w:t xml:space="preserve"> </w:t>
            </w:r>
          </w:p>
          <w:p w14:paraId="1EC669AC" w14:textId="5C854A44" w:rsidR="006F4177" w:rsidRPr="006F4177" w:rsidRDefault="006F4177" w:rsidP="00BF4E56">
            <w:pPr>
              <w:tabs>
                <w:tab w:val="left" w:pos="2880"/>
              </w:tabs>
              <w:ind w:left="-105"/>
              <w:jc w:val="both"/>
              <w:rPr>
                <w:rFonts w:ascii="Book Antiqua" w:eastAsia="Book Antiqua" w:hAnsi="Book Antiqua" w:cs="Book Antiqua"/>
                <w:sz w:val="16"/>
                <w:szCs w:val="16"/>
                <w:lang w:val="pt-BR"/>
              </w:rPr>
            </w:pPr>
          </w:p>
        </w:tc>
      </w:tr>
    </w:tbl>
    <w:p w14:paraId="2C439FF6" w14:textId="77777777" w:rsidR="0077631D" w:rsidRPr="003D72DD" w:rsidRDefault="0077631D">
      <w:pPr>
        <w:rPr>
          <w:rFonts w:ascii="Book Antiqua" w:hAnsi="Book Antiqua"/>
          <w:sz w:val="20"/>
          <w:szCs w:val="20"/>
          <w:lang w:val="pt-BR"/>
        </w:rPr>
      </w:pPr>
    </w:p>
    <w:tbl>
      <w:tblPr>
        <w:tblStyle w:val="a0"/>
        <w:tblW w:w="10206" w:type="dxa"/>
        <w:tblLayout w:type="fixed"/>
        <w:tblLook w:val="0400" w:firstRow="0" w:lastRow="0" w:firstColumn="0" w:lastColumn="0" w:noHBand="0" w:noVBand="1"/>
      </w:tblPr>
      <w:tblGrid>
        <w:gridCol w:w="3261"/>
        <w:gridCol w:w="6945"/>
      </w:tblGrid>
      <w:tr w:rsidR="0077631D" w:rsidRPr="003638C8" w14:paraId="040F7F74" w14:textId="77777777" w:rsidTr="00E2185B">
        <w:tc>
          <w:tcPr>
            <w:tcW w:w="3261" w:type="dxa"/>
          </w:tcPr>
          <w:p w14:paraId="72FCDCC2" w14:textId="6F809A07" w:rsidR="00CA32AE" w:rsidRPr="00E256B1" w:rsidRDefault="00CA32AE" w:rsidP="00CA32AE">
            <w:pPr>
              <w:ind w:left="-110"/>
              <w:rPr>
                <w:rFonts w:ascii="Book Antiqua" w:hAnsi="Book Antiqua"/>
                <w:sz w:val="18"/>
                <w:szCs w:val="18"/>
              </w:rPr>
            </w:pPr>
            <w:r>
              <w:rPr>
                <w:rFonts w:ascii="Book Antiqua" w:hAnsi="Book Antiqua"/>
                <w:sz w:val="18"/>
                <w:szCs w:val="18"/>
              </w:rPr>
              <w:t xml:space="preserve">Received: February </w:t>
            </w:r>
            <w:r>
              <w:rPr>
                <w:rFonts w:ascii="Book Antiqua" w:hAnsi="Book Antiqua"/>
                <w:sz w:val="18"/>
                <w:szCs w:val="18"/>
              </w:rPr>
              <w:t>10</w:t>
            </w:r>
            <w:r>
              <w:rPr>
                <w:rFonts w:ascii="Book Antiqua" w:hAnsi="Book Antiqua"/>
                <w:sz w:val="18"/>
                <w:szCs w:val="18"/>
              </w:rPr>
              <w:t>, 2026</w:t>
            </w:r>
          </w:p>
          <w:p w14:paraId="69AE0379" w14:textId="77777777" w:rsidR="00CA32AE" w:rsidRPr="00E256B1" w:rsidRDefault="00CA32AE" w:rsidP="00CA32AE">
            <w:pPr>
              <w:ind w:left="-110"/>
              <w:rPr>
                <w:rFonts w:ascii="Book Antiqua" w:hAnsi="Book Antiqua"/>
                <w:sz w:val="18"/>
                <w:szCs w:val="18"/>
              </w:rPr>
            </w:pPr>
            <w:r>
              <w:rPr>
                <w:rFonts w:ascii="Book Antiqua" w:hAnsi="Book Antiqua"/>
                <w:sz w:val="18"/>
                <w:szCs w:val="18"/>
              </w:rPr>
              <w:t>Revised: March 29, 2026</w:t>
            </w:r>
          </w:p>
          <w:p w14:paraId="53C822AE" w14:textId="77777777" w:rsidR="00CA32AE" w:rsidRPr="00E256B1" w:rsidRDefault="00CA32AE" w:rsidP="00CA32AE">
            <w:pPr>
              <w:ind w:left="-110"/>
              <w:rPr>
                <w:rFonts w:ascii="Book Antiqua" w:hAnsi="Book Antiqua"/>
                <w:sz w:val="18"/>
                <w:szCs w:val="18"/>
              </w:rPr>
            </w:pPr>
            <w:r>
              <w:rPr>
                <w:rFonts w:ascii="Book Antiqua" w:hAnsi="Book Antiqua"/>
                <w:sz w:val="18"/>
                <w:szCs w:val="18"/>
              </w:rPr>
              <w:t>Accepted: April 25, 2026</w:t>
            </w:r>
          </w:p>
          <w:p w14:paraId="3FE7525D" w14:textId="77777777" w:rsidR="00CA32AE" w:rsidRPr="00E256B1" w:rsidRDefault="00CA32AE" w:rsidP="00CA32AE">
            <w:pPr>
              <w:ind w:left="-110"/>
              <w:rPr>
                <w:rFonts w:ascii="Book Antiqua" w:hAnsi="Book Antiqua"/>
                <w:sz w:val="18"/>
                <w:szCs w:val="18"/>
              </w:rPr>
            </w:pPr>
            <w:r>
              <w:rPr>
                <w:rFonts w:ascii="Book Antiqua" w:hAnsi="Book Antiqua"/>
                <w:sz w:val="18"/>
                <w:szCs w:val="18"/>
              </w:rPr>
              <w:t>Published: April 30, 2026</w:t>
            </w:r>
          </w:p>
          <w:p w14:paraId="123DC2E2" w14:textId="77777777" w:rsidR="00E2185B" w:rsidRPr="00E256B1" w:rsidRDefault="00E2185B" w:rsidP="00E2185B">
            <w:pPr>
              <w:ind w:firstLine="720"/>
              <w:rPr>
                <w:rFonts w:ascii="Book Antiqua" w:hAnsi="Book Antiqua"/>
                <w:color w:val="002060"/>
                <w:sz w:val="16"/>
                <w:szCs w:val="16"/>
              </w:rPr>
            </w:pPr>
          </w:p>
          <w:p w14:paraId="666A20C8" w14:textId="77777777" w:rsidR="00E2185B" w:rsidRPr="00E65A59" w:rsidRDefault="00E2185B" w:rsidP="00E2185B">
            <w:pPr>
              <w:ind w:left="-107"/>
              <w:rPr>
                <w:rFonts w:ascii="Book Antiqua" w:hAnsi="Book Antiqua"/>
                <w:sz w:val="18"/>
                <w:szCs w:val="18"/>
              </w:rPr>
            </w:pPr>
            <w:r w:rsidRPr="00E65A59">
              <w:rPr>
                <w:rFonts w:ascii="Book Antiqua" w:hAnsi="Book Antiqua"/>
                <w:sz w:val="18"/>
                <w:szCs w:val="18"/>
              </w:rPr>
              <w:t xml:space="preserve">Corresponding Author: </w:t>
            </w:r>
          </w:p>
          <w:p w14:paraId="107879D7" w14:textId="74C9D1F1" w:rsidR="00E2185B" w:rsidRDefault="00E2185B" w:rsidP="00E2185B">
            <w:pPr>
              <w:ind w:left="-107"/>
              <w:rPr>
                <w:rFonts w:ascii="Book Antiqua" w:hAnsi="Book Antiqua"/>
                <w:sz w:val="18"/>
                <w:szCs w:val="18"/>
              </w:rPr>
            </w:pPr>
            <w:r w:rsidRPr="00E2185B">
              <w:rPr>
                <w:rFonts w:ascii="Book Antiqua" w:hAnsi="Book Antiqua"/>
                <w:sz w:val="18"/>
                <w:szCs w:val="18"/>
              </w:rPr>
              <w:t>Ahmad Syamsu Rijal S</w:t>
            </w:r>
          </w:p>
          <w:p w14:paraId="78E6F722" w14:textId="164BD52D" w:rsidR="00E2185B" w:rsidRPr="00E2185B" w:rsidRDefault="00E2185B" w:rsidP="00E2185B">
            <w:pPr>
              <w:ind w:left="-107"/>
              <w:rPr>
                <w:rFonts w:ascii="Book Antiqua" w:hAnsi="Book Antiqua"/>
                <w:sz w:val="18"/>
                <w:szCs w:val="18"/>
              </w:rPr>
            </w:pPr>
            <w:r w:rsidRPr="00E2185B">
              <w:rPr>
                <w:rStyle w:val="Hyperlink"/>
                <w:rFonts w:ascii="Book Antiqua" w:hAnsi="Book Antiqua"/>
                <w:sz w:val="18"/>
                <w:szCs w:val="18"/>
                <w:u w:val="none"/>
              </w:rPr>
              <w:t>ahmadsyamsurijals@gmail.umgo.ac.id</w:t>
            </w:r>
            <w:r w:rsidRPr="00E2185B">
              <w:rPr>
                <w:rFonts w:ascii="Book Antiqua" w:hAnsi="Book Antiqua"/>
                <w:sz w:val="16"/>
                <w:szCs w:val="16"/>
              </w:rPr>
              <w:t xml:space="preserve">  </w:t>
            </w:r>
          </w:p>
          <w:p w14:paraId="4FA3BEDF" w14:textId="77777777" w:rsidR="00E2185B" w:rsidRPr="00E256B1" w:rsidRDefault="00E2185B" w:rsidP="00E2185B">
            <w:pPr>
              <w:rPr>
                <w:rFonts w:ascii="Book Antiqua" w:hAnsi="Book Antiqua"/>
                <w:color w:val="002060"/>
                <w:sz w:val="16"/>
                <w:szCs w:val="16"/>
              </w:rPr>
            </w:pPr>
          </w:p>
          <w:p w14:paraId="57DE6407" w14:textId="0B32283C" w:rsidR="00E2185B" w:rsidRPr="00626091" w:rsidRDefault="00E2185B" w:rsidP="00E2185B">
            <w:pPr>
              <w:ind w:left="-107"/>
              <w:rPr>
                <w:rFonts w:ascii="Book Antiqua" w:hAnsi="Book Antiqua"/>
                <w:sz w:val="18"/>
                <w:szCs w:val="18"/>
              </w:rPr>
            </w:pPr>
            <w:r w:rsidRPr="00E256B1">
              <w:rPr>
                <w:rFonts w:ascii="Book Antiqua" w:hAnsi="Book Antiqua"/>
                <w:sz w:val="18"/>
                <w:szCs w:val="18"/>
              </w:rPr>
              <w:t>DOI:</w:t>
            </w:r>
            <w:r w:rsidR="00CA32AE" w:rsidRPr="00CA32AE">
              <w:rPr>
                <w:rFonts w:ascii="Book Antiqua" w:hAnsi="Book Antiqua"/>
                <w:sz w:val="18"/>
                <w:szCs w:val="18"/>
              </w:rPr>
              <w:t xml:space="preserve"> </w:t>
            </w:r>
            <w:hyperlink r:id="rId9" w:history="1">
              <w:r w:rsidR="00CA32AE" w:rsidRPr="00CA32AE">
                <w:rPr>
                  <w:rStyle w:val="Hyperlink"/>
                  <w:rFonts w:ascii="Book Antiqua" w:hAnsi="Book Antiqua"/>
                  <w:sz w:val="18"/>
                  <w:szCs w:val="18"/>
                  <w:u w:val="none"/>
                </w:rPr>
                <w:t>10.29303/</w:t>
              </w:r>
              <w:proofErr w:type="gramStart"/>
              <w:r w:rsidR="00CA32AE" w:rsidRPr="00CA32AE">
                <w:rPr>
                  <w:rStyle w:val="Hyperlink"/>
                  <w:rFonts w:ascii="Book Antiqua" w:hAnsi="Book Antiqua"/>
                  <w:sz w:val="18"/>
                  <w:szCs w:val="18"/>
                  <w:u w:val="none"/>
                </w:rPr>
                <w:t>jppipa.v</w:t>
              </w:r>
              <w:proofErr w:type="gramEnd"/>
              <w:r w:rsidR="00CA32AE" w:rsidRPr="00CA32AE">
                <w:rPr>
                  <w:rStyle w:val="Hyperlink"/>
                  <w:rFonts w:ascii="Book Antiqua" w:hAnsi="Book Antiqua"/>
                  <w:sz w:val="18"/>
                  <w:szCs w:val="18"/>
                  <w:u w:val="none"/>
                </w:rPr>
                <w:t>12i4.14568</w:t>
              </w:r>
            </w:hyperlink>
            <w:r w:rsidR="00CA32AE">
              <w:rPr>
                <w:rFonts w:ascii="Book Antiqua" w:hAnsi="Book Antiqua"/>
                <w:sz w:val="18"/>
                <w:szCs w:val="18"/>
              </w:rPr>
              <w:t xml:space="preserve"> </w:t>
            </w:r>
          </w:p>
          <w:p w14:paraId="09B0336B" w14:textId="77777777" w:rsidR="00E2185B" w:rsidRPr="00CC05B9" w:rsidRDefault="00E2185B" w:rsidP="00E2185B">
            <w:pPr>
              <w:rPr>
                <w:rFonts w:ascii="Book Antiqua" w:hAnsi="Book Antiqua"/>
                <w:sz w:val="18"/>
                <w:szCs w:val="18"/>
              </w:rPr>
            </w:pPr>
            <w:r w:rsidRPr="00E65A59">
              <w:rPr>
                <w:rFonts w:ascii="Book Antiqua" w:hAnsi="Book Antiqua"/>
                <w:noProof/>
                <w:sz w:val="28"/>
                <w:szCs w:val="28"/>
              </w:rPr>
              <mc:AlternateContent>
                <mc:Choice Requires="wps">
                  <w:drawing>
                    <wp:anchor distT="0" distB="0" distL="114300" distR="114300" simplePos="0" relativeHeight="251680768" behindDoc="0" locked="0" layoutInCell="1" allowOverlap="1" wp14:anchorId="35832977" wp14:editId="03DA8B4F">
                      <wp:simplePos x="0" y="0"/>
                      <wp:positionH relativeFrom="margin">
                        <wp:posOffset>722630</wp:posOffset>
                      </wp:positionH>
                      <wp:positionV relativeFrom="paragraph">
                        <wp:posOffset>9307830</wp:posOffset>
                      </wp:positionV>
                      <wp:extent cx="2052955" cy="387985"/>
                      <wp:effectExtent l="0" t="0" r="0" b="0"/>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2955" cy="38798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EE42505" w14:textId="77777777" w:rsidR="006650B1" w:rsidRPr="00153FE7" w:rsidRDefault="006650B1" w:rsidP="00E2185B">
                                  <w:pPr>
                                    <w:rPr>
                                      <w:b/>
                                      <w:color w:val="C00000"/>
                                      <w:sz w:val="20"/>
                                    </w:rPr>
                                  </w:pPr>
                                  <w:r w:rsidRPr="00153FE7">
                                    <w:rPr>
                                      <w:b/>
                                      <w:color w:val="C00000"/>
                                      <w:sz w:val="20"/>
                                    </w:rPr>
                                    <w:t xml:space="preserve">Publisher </w:t>
                                  </w:r>
                                </w:p>
                                <w:p w14:paraId="116D28A1" w14:textId="77777777" w:rsidR="006650B1" w:rsidRPr="00153FE7" w:rsidRDefault="006650B1" w:rsidP="00E2185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23BC6D0D" w14:textId="77777777" w:rsidR="006650B1" w:rsidRDefault="006650B1" w:rsidP="00E2185B">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35832977" id="Rectangle 67" o:spid="_x0000_s1026" style="position:absolute;margin-left:56.9pt;margin-top:732.9pt;width:161.65pt;height:30.5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" stroked="f" strokeweight="1pt">
                      <v:path arrowok="t"/>
                      <v:textbox>
                        <w:txbxContent>
                          <w:p w14:paraId="7EE42505" w14:textId="77777777" w:rsidR="006650B1" w:rsidRPr="00153FE7" w:rsidRDefault="006650B1" w:rsidP="00E2185B">
                            <w:pPr>
                              <w:rPr>
                                <w:b/>
                                <w:color w:val="C00000"/>
                                <w:sz w:val="20"/>
                              </w:rPr>
                            </w:pPr>
                            <w:r w:rsidRPr="00153FE7">
                              <w:rPr>
                                <w:b/>
                                <w:color w:val="C00000"/>
                                <w:sz w:val="20"/>
                              </w:rPr>
                              <w:t xml:space="preserve">Publisher </w:t>
                            </w:r>
                          </w:p>
                          <w:p w14:paraId="116D28A1" w14:textId="77777777" w:rsidR="006650B1" w:rsidRPr="00153FE7" w:rsidRDefault="006650B1" w:rsidP="00E2185B">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23BC6D0D" w14:textId="77777777" w:rsidR="006650B1" w:rsidRDefault="006650B1" w:rsidP="00E2185B">
                            <w:pPr>
                              <w:jc w:val="center"/>
                            </w:pPr>
                          </w:p>
                        </w:txbxContent>
                      </v:textbox>
                      <w10:wrap anchorx="margin"/>
                    </v:rect>
                  </w:pict>
                </mc:Fallback>
              </mc:AlternateContent>
            </w:r>
          </w:p>
          <w:p w14:paraId="47B13F4D" w14:textId="77777777" w:rsidR="00E2185B" w:rsidRPr="002869B0" w:rsidRDefault="00E2185B" w:rsidP="00E2185B">
            <w:pPr>
              <w:ind w:left="-107"/>
              <w:rPr>
                <w:rFonts w:ascii="Book Antiqua" w:eastAsia="Book Antiqua" w:hAnsi="Book Antiqua" w:cs="Book Antiqua"/>
                <w:sz w:val="18"/>
                <w:szCs w:val="18"/>
              </w:rPr>
            </w:pPr>
            <w:r w:rsidRPr="002869B0">
              <w:rPr>
                <w:rFonts w:ascii="Book Antiqua" w:eastAsia="Book Antiqua" w:hAnsi="Book Antiqua" w:cs="Book Antiqua"/>
                <w:noProof/>
                <w:color w:val="000000"/>
                <w:sz w:val="16"/>
                <w:szCs w:val="16"/>
              </w:rPr>
              <w:drawing>
                <wp:inline distT="0" distB="0" distL="0" distR="0" wp14:anchorId="721EF757" wp14:editId="2903B3CD">
                  <wp:extent cx="802471" cy="252919"/>
                  <wp:effectExtent l="0" t="0" r="0" b="1270"/>
                  <wp:docPr id="115705434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54343" name="Picture 11"/>
                          <pic:cNvPicPr/>
                        </pic:nvPicPr>
                        <pic:blipFill rotWithShape="1">
                          <a:blip r:embed="rId10" cstate="print">
                            <a:extLst>
                              <a:ext uri="{28A0092B-C50C-407E-A947-70E740481C1C}">
                                <a14:useLocalDpi xmlns:a14="http://schemas.microsoft.com/office/drawing/2010/main" val="0"/>
                              </a:ext>
                            </a:extLst>
                          </a:blip>
                          <a:srcRect l="10743"/>
                          <a:stretch>
                            <a:fillRect/>
                          </a:stretch>
                        </pic:blipFill>
                        <pic:spPr bwMode="auto">
                          <a:xfrm>
                            <a:off x="0" y="0"/>
                            <a:ext cx="914169" cy="288123"/>
                          </a:xfrm>
                          <a:prstGeom prst="rect">
                            <a:avLst/>
                          </a:prstGeom>
                          <a:ln>
                            <a:noFill/>
                          </a:ln>
                          <a:extLst>
                            <a:ext uri="{53640926-AAD7-44D8-BBD7-CCE9431645EC}">
                              <a14:shadowObscured xmlns:a14="http://schemas.microsoft.com/office/drawing/2010/main"/>
                            </a:ext>
                          </a:extLst>
                        </pic:spPr>
                      </pic:pic>
                    </a:graphicData>
                  </a:graphic>
                </wp:inline>
              </w:drawing>
            </w:r>
          </w:p>
          <w:p w14:paraId="75D645FC" w14:textId="77777777" w:rsidR="00E2185B" w:rsidRPr="002869B0" w:rsidRDefault="00E2185B" w:rsidP="00E2185B">
            <w:pPr>
              <w:ind w:left="-108"/>
              <w:rPr>
                <w:rFonts w:ascii="Book Antiqua" w:eastAsia="Book Antiqua" w:hAnsi="Book Antiqua" w:cs="Book Antiqua"/>
                <w:sz w:val="18"/>
                <w:szCs w:val="18"/>
              </w:rPr>
            </w:pPr>
            <w:r w:rsidRPr="002869B0">
              <w:rPr>
                <w:rFonts w:ascii="Book Antiqua" w:eastAsia="Book Antiqua" w:hAnsi="Book Antiqua" w:cs="Book Antiqua"/>
                <w:sz w:val="18"/>
                <w:szCs w:val="18"/>
              </w:rPr>
              <w:t>© 2026 The Authors. This article is distributed under a (CC-BY License)</w:t>
            </w:r>
            <w:r w:rsidRPr="002869B0">
              <w:rPr>
                <w:rFonts w:ascii="Book Antiqua" w:hAnsi="Book Antiqua"/>
                <w:noProof/>
              </w:rPr>
              <mc:AlternateContent>
                <mc:Choice Requires="wps">
                  <w:drawing>
                    <wp:anchor distT="0" distB="0" distL="114300" distR="114300" simplePos="0" relativeHeight="251681792" behindDoc="0" locked="0" layoutInCell="1" hidden="0" allowOverlap="1" wp14:anchorId="0E15883B" wp14:editId="6B180138">
                      <wp:simplePos x="0" y="0"/>
                      <wp:positionH relativeFrom="column">
                        <wp:posOffset>711200</wp:posOffset>
                      </wp:positionH>
                      <wp:positionV relativeFrom="paragraph">
                        <wp:posOffset>9296400</wp:posOffset>
                      </wp:positionV>
                      <wp:extent cx="2062480" cy="397510"/>
                      <wp:effectExtent l="0" t="0" r="0" b="0"/>
                      <wp:wrapNone/>
                      <wp:docPr id="8" name="Rectangle 8"/>
                      <wp:cNvGraphicFramePr/>
                      <a:graphic xmlns:a="http://schemas.openxmlformats.org/drawingml/2006/main">
                        <a:graphicData uri="http://schemas.microsoft.com/office/word/2010/wordprocessingShape">
                          <wps:wsp>
                            <wps:cNvSpPr/>
                            <wps:spPr>
                              <a:xfrm>
                                <a:off x="4319523" y="3586008"/>
                                <a:ext cx="2052955" cy="387985"/>
                              </a:xfrm>
                              <a:prstGeom prst="rect">
                                <a:avLst/>
                              </a:prstGeom>
                              <a:solidFill>
                                <a:srgbClr val="FFFFFF"/>
                              </a:solidFill>
                              <a:ln>
                                <a:noFill/>
                              </a:ln>
                            </wps:spPr>
                            <wps:txbx>
                              <w:txbxContent>
                                <w:p w14:paraId="1B9D6BE2" w14:textId="77777777" w:rsidR="006650B1" w:rsidRDefault="006650B1" w:rsidP="00E2185B">
                                  <w:pPr>
                                    <w:textDirection w:val="btLr"/>
                                  </w:pPr>
                                  <w:r>
                                    <w:rPr>
                                      <w:b/>
                                      <w:color w:val="C00000"/>
                                      <w:sz w:val="20"/>
                                    </w:rPr>
                                    <w:t xml:space="preserve">Publisher </w:t>
                                  </w:r>
                                </w:p>
                                <w:p w14:paraId="01406DA9" w14:textId="77777777" w:rsidR="006650B1" w:rsidRDefault="006650B1" w:rsidP="00E2185B">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FBB947C" w14:textId="77777777" w:rsidR="006650B1" w:rsidRDefault="006650B1" w:rsidP="00E2185B">
                                  <w:pPr>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0E15883B" id="Rectangle 8" o:spid="_x0000_s1027" style="position:absolute;left:0;text-align:left;margin-left:56pt;margin-top:732pt;width:162.4pt;height:31.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" stroked="f">
                      <v:textbox inset="2.53958mm,1.2694mm,2.53958mm,1.2694mm">
                        <w:txbxContent>
                          <w:p w14:paraId="1B9D6BE2" w14:textId="77777777" w:rsidR="006650B1" w:rsidRDefault="006650B1" w:rsidP="00E2185B">
                            <w:pPr>
                              <w:textDirection w:val="btLr"/>
                            </w:pPr>
                            <w:r>
                              <w:rPr>
                                <w:b/>
                                <w:color w:val="C00000"/>
                                <w:sz w:val="20"/>
                              </w:rPr>
                              <w:t xml:space="preserve">Publisher </w:t>
                            </w:r>
                          </w:p>
                          <w:p w14:paraId="01406DA9" w14:textId="77777777" w:rsidR="006650B1" w:rsidRDefault="006650B1" w:rsidP="00E2185B">
                            <w:pPr>
                              <w:textDirection w:val="btLr"/>
                            </w:pPr>
                            <w:r>
                              <w:rPr>
                                <w:b/>
                                <w:color w:val="C00000"/>
                                <w:sz w:val="20"/>
                              </w:rPr>
                              <w:t xml:space="preserve">UPT </w:t>
                            </w:r>
                            <w:proofErr w:type="spellStart"/>
                            <w:r>
                              <w:rPr>
                                <w:b/>
                                <w:color w:val="C00000"/>
                                <w:sz w:val="20"/>
                              </w:rPr>
                              <w:t>Mataram</w:t>
                            </w:r>
                            <w:proofErr w:type="spellEnd"/>
                            <w:r>
                              <w:rPr>
                                <w:b/>
                                <w:color w:val="C00000"/>
                                <w:sz w:val="20"/>
                              </w:rPr>
                              <w:t xml:space="preserve"> University Press</w:t>
                            </w:r>
                          </w:p>
                          <w:p w14:paraId="1FBB947C" w14:textId="77777777" w:rsidR="006650B1" w:rsidRDefault="006650B1" w:rsidP="00E2185B">
                            <w:pPr>
                              <w:jc w:val="center"/>
                              <w:textDirection w:val="btLr"/>
                            </w:pPr>
                          </w:p>
                        </w:txbxContent>
                      </v:textbox>
                    </v:rect>
                  </w:pict>
                </mc:Fallback>
              </mc:AlternateContent>
            </w:r>
          </w:p>
          <w:p w14:paraId="3D781A84" w14:textId="3535E674" w:rsidR="0077631D" w:rsidRPr="003638C8" w:rsidRDefault="00E2185B" w:rsidP="00E2185B">
            <w:pPr>
              <w:ind w:left="-107"/>
              <w:rPr>
                <w:rFonts w:ascii="Book Antiqua" w:eastAsia="Book Antiqua" w:hAnsi="Book Antiqua" w:cs="Book Antiqua"/>
                <w:sz w:val="18"/>
                <w:szCs w:val="18"/>
              </w:rPr>
            </w:pPr>
            <w:r w:rsidRPr="002869B0">
              <w:rPr>
                <w:rFonts w:ascii="Book Antiqua" w:eastAsia="Book Antiqua" w:hAnsi="Book Antiqua" w:cs="Book Antiqua"/>
                <w:noProof/>
                <w:sz w:val="18"/>
                <w:szCs w:val="18"/>
              </w:rPr>
              <w:drawing>
                <wp:inline distT="0" distB="0" distL="0" distR="0" wp14:anchorId="12F3AD9E" wp14:editId="29584C02">
                  <wp:extent cx="491490" cy="167005"/>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491490" cy="167005"/>
                          </a:xfrm>
                          <a:prstGeom prst="rect">
                            <a:avLst/>
                          </a:prstGeom>
                          <a:ln/>
                        </pic:spPr>
                      </pic:pic>
                    </a:graphicData>
                  </a:graphic>
                </wp:inline>
              </w:drawing>
            </w:r>
          </w:p>
        </w:tc>
        <w:tc>
          <w:tcPr>
            <w:tcW w:w="6945" w:type="dxa"/>
            <w:shd w:val="clear" w:color="auto" w:fill="D9D9D9"/>
          </w:tcPr>
          <w:p w14:paraId="439E0B40" w14:textId="030588A7" w:rsidR="0077631D" w:rsidRPr="003638C8" w:rsidRDefault="002C5B73" w:rsidP="00E2185B">
            <w:pPr>
              <w:jc w:val="both"/>
              <w:rPr>
                <w:rFonts w:ascii="Book Antiqua" w:eastAsia="Book Antiqua" w:hAnsi="Book Antiqua" w:cs="Book Antiqua"/>
                <w:sz w:val="18"/>
                <w:szCs w:val="18"/>
              </w:rPr>
            </w:pPr>
            <w:r w:rsidRPr="003638C8">
              <w:rPr>
                <w:rFonts w:ascii="Book Antiqua" w:eastAsia="Book Antiqua" w:hAnsi="Book Antiqua" w:cs="Book Antiqua"/>
                <w:b/>
                <w:sz w:val="18"/>
                <w:szCs w:val="18"/>
              </w:rPr>
              <w:t>Abstract:</w:t>
            </w:r>
            <w:r w:rsidR="00726907" w:rsidRPr="003638C8">
              <w:rPr>
                <w:rFonts w:ascii="Book Antiqua" w:eastAsia="Book Antiqua" w:hAnsi="Book Antiqua" w:cs="Book Antiqua"/>
                <w:b/>
                <w:sz w:val="18"/>
                <w:szCs w:val="18"/>
              </w:rPr>
              <w:t xml:space="preserve"> </w:t>
            </w:r>
            <w:r w:rsidR="007D2DEB" w:rsidRPr="007D2DEB">
              <w:rPr>
                <w:rFonts w:ascii="Book Antiqua" w:eastAsia="Book Antiqua" w:hAnsi="Book Antiqua" w:cs="Book Antiqua"/>
                <w:sz w:val="18"/>
                <w:szCs w:val="18"/>
              </w:rPr>
              <w:t>Climate change has altered rainfall patterns in Indonesia; however, spatially detailed climate classification in Gorontalo Province remains limited. This study aims to identify climate patterns using the Schmidt–Ferguson method combined with spatial analysis. The novelty lies in integrating data consistency testing, quantitative Q index analysis, and GIS-based interpolation to produce spatial climate zoning.</w:t>
            </w:r>
            <w:r w:rsidR="007D2DEB">
              <w:rPr>
                <w:rFonts w:ascii="Book Antiqua" w:eastAsia="Book Antiqua" w:hAnsi="Book Antiqua" w:cs="Book Antiqua"/>
                <w:sz w:val="18"/>
                <w:szCs w:val="18"/>
              </w:rPr>
              <w:t xml:space="preserve"> </w:t>
            </w:r>
            <w:r w:rsidR="007D2DEB" w:rsidRPr="007D2DEB">
              <w:rPr>
                <w:rFonts w:ascii="Book Antiqua" w:eastAsia="Book Antiqua" w:hAnsi="Book Antiqua" w:cs="Book Antiqua"/>
                <w:sz w:val="18"/>
                <w:szCs w:val="18"/>
              </w:rPr>
              <w:t>This study uses monthly rainfall data from 41 consistent observation stations (out of 48 stations) during 2015–2024, obtained from BWS Sulawesi II and BMKG. Data consistency was tested using the Double Mass Curve method, followed by calculation of the Q index and spatial</w:t>
            </w:r>
            <w:r w:rsidR="007D2DEB">
              <w:rPr>
                <w:rFonts w:ascii="Book Antiqua" w:eastAsia="Book Antiqua" w:hAnsi="Book Antiqua" w:cs="Book Antiqua"/>
                <w:sz w:val="18"/>
                <w:szCs w:val="18"/>
              </w:rPr>
              <w:t xml:space="preserve"> </w:t>
            </w:r>
            <w:r w:rsidR="007D2DEB" w:rsidRPr="007D2DEB">
              <w:rPr>
                <w:rFonts w:ascii="Book Antiqua" w:eastAsia="Book Antiqua" w:hAnsi="Book Antiqua" w:cs="Book Antiqua"/>
                <w:sz w:val="18"/>
                <w:szCs w:val="18"/>
              </w:rPr>
              <w:t>interpolation using the Inverse Distance Weighting (IDW) method.</w:t>
            </w:r>
            <w:r w:rsidR="007D2DEB">
              <w:rPr>
                <w:rFonts w:ascii="Book Antiqua" w:eastAsia="Book Antiqua" w:hAnsi="Book Antiqua" w:cs="Book Antiqua"/>
                <w:sz w:val="18"/>
                <w:szCs w:val="18"/>
              </w:rPr>
              <w:t xml:space="preserve"> </w:t>
            </w:r>
            <w:r w:rsidR="007D2DEB" w:rsidRPr="007D2DEB">
              <w:rPr>
                <w:rFonts w:ascii="Book Antiqua" w:eastAsia="Book Antiqua" w:hAnsi="Book Antiqua" w:cs="Book Antiqua"/>
                <w:sz w:val="18"/>
                <w:szCs w:val="18"/>
              </w:rPr>
              <w:t>Results show that rainfall data are highly consistent (R² ≈ 1). The Q index ranges from 7.6 to 119, indicating diverse climate types: very wet (A), wet (B), moderately wet (C), moderate (D), and slightly dry (E). Spatially, wet climates dominate mountainous areas, while relatively drier conditions occur in coastal regions.</w:t>
            </w:r>
            <w:r w:rsidR="007D2DEB">
              <w:rPr>
                <w:rFonts w:ascii="Book Antiqua" w:eastAsia="Book Antiqua" w:hAnsi="Book Antiqua" w:cs="Book Antiqua"/>
                <w:sz w:val="18"/>
                <w:szCs w:val="18"/>
              </w:rPr>
              <w:t xml:space="preserve"> </w:t>
            </w:r>
            <w:r w:rsidR="007D2DEB" w:rsidRPr="007D2DEB">
              <w:rPr>
                <w:rFonts w:ascii="Book Antiqua" w:eastAsia="Book Antiqua" w:hAnsi="Book Antiqua" w:cs="Book Antiqua"/>
                <w:sz w:val="18"/>
                <w:szCs w:val="18"/>
              </w:rPr>
              <w:t>These findings are applicable for crop calendar planning, irrigation management, and disaster mitigation such as flood-prone and drought-prone zoning. However, the study is limited by uneven station distribution and a 10-year observation period.</w:t>
            </w:r>
            <w:r w:rsidR="007D2DEB">
              <w:rPr>
                <w:rFonts w:ascii="Book Antiqua" w:eastAsia="Book Antiqua" w:hAnsi="Book Antiqua" w:cs="Book Antiqua"/>
                <w:sz w:val="18"/>
                <w:szCs w:val="18"/>
              </w:rPr>
              <w:t xml:space="preserve"> </w:t>
            </w:r>
            <w:r w:rsidR="007D2DEB" w:rsidRPr="007D2DEB">
              <w:rPr>
                <w:rFonts w:ascii="Book Antiqua" w:eastAsia="Book Antiqua" w:hAnsi="Book Antiqua" w:cs="Book Antiqua"/>
                <w:sz w:val="18"/>
                <w:szCs w:val="18"/>
              </w:rPr>
              <w:t>In conclusion, Gorontalo Province exhibits high spatial variability of climate influenced by topography and geographic location.</w:t>
            </w:r>
          </w:p>
          <w:p w14:paraId="2122732A" w14:textId="77777777" w:rsidR="0077631D" w:rsidRPr="003638C8" w:rsidRDefault="0077631D" w:rsidP="00E2185B">
            <w:pPr>
              <w:rPr>
                <w:rFonts w:ascii="Book Antiqua" w:eastAsia="Book Antiqua" w:hAnsi="Book Antiqua" w:cs="Book Antiqua"/>
                <w:sz w:val="18"/>
                <w:szCs w:val="18"/>
              </w:rPr>
            </w:pPr>
          </w:p>
          <w:p w14:paraId="41A8CEBA" w14:textId="2C12D8C1" w:rsidR="0077631D" w:rsidRPr="003638C8" w:rsidRDefault="002C5B73" w:rsidP="00E2185B">
            <w:pPr>
              <w:jc w:val="both"/>
              <w:rPr>
                <w:rFonts w:ascii="Book Antiqua" w:eastAsia="Book Antiqua" w:hAnsi="Book Antiqua" w:cs="Book Antiqua"/>
                <w:sz w:val="18"/>
                <w:szCs w:val="18"/>
              </w:rPr>
            </w:pPr>
            <w:r w:rsidRPr="003638C8">
              <w:rPr>
                <w:rFonts w:ascii="Book Antiqua" w:eastAsia="Book Antiqua" w:hAnsi="Book Antiqua" w:cs="Book Antiqua"/>
                <w:b/>
                <w:sz w:val="18"/>
                <w:szCs w:val="18"/>
              </w:rPr>
              <w:t>Keywords:</w:t>
            </w:r>
            <w:r w:rsidR="00726907" w:rsidRPr="003638C8">
              <w:rPr>
                <w:rFonts w:ascii="Book Antiqua" w:eastAsia="Book Antiqua" w:hAnsi="Book Antiqua" w:cs="Book Antiqua"/>
                <w:b/>
                <w:sz w:val="18"/>
                <w:szCs w:val="18"/>
              </w:rPr>
              <w:t xml:space="preserve"> </w:t>
            </w:r>
            <w:r w:rsidR="00E2185B">
              <w:rPr>
                <w:rFonts w:ascii="Book Antiqua" w:eastAsia="Book Antiqua" w:hAnsi="Book Antiqua" w:cs="Book Antiqua"/>
                <w:sz w:val="18"/>
                <w:szCs w:val="18"/>
              </w:rPr>
              <w:t>Climate pattern; Geographic information s</w:t>
            </w:r>
            <w:r w:rsidR="00373E89" w:rsidRPr="00373E89">
              <w:rPr>
                <w:rFonts w:ascii="Book Antiqua" w:eastAsia="Book Antiqua" w:hAnsi="Book Antiqua" w:cs="Book Antiqua"/>
                <w:sz w:val="18"/>
                <w:szCs w:val="18"/>
              </w:rPr>
              <w:t>ystem; Rainfall; Schmidt–Ferguson</w:t>
            </w:r>
            <w:r w:rsidR="00373E89">
              <w:rPr>
                <w:rFonts w:ascii="Book Antiqua" w:eastAsia="Book Antiqua" w:hAnsi="Book Antiqua" w:cs="Book Antiqua"/>
                <w:sz w:val="18"/>
                <w:szCs w:val="18"/>
              </w:rPr>
              <w:t xml:space="preserve"> </w:t>
            </w:r>
          </w:p>
        </w:tc>
      </w:tr>
      <w:tr w:rsidR="0077631D" w:rsidRPr="003638C8" w14:paraId="73915575" w14:textId="77777777" w:rsidTr="00E2185B">
        <w:tc>
          <w:tcPr>
            <w:tcW w:w="3261" w:type="dxa"/>
          </w:tcPr>
          <w:p w14:paraId="61993C5C" w14:textId="77777777" w:rsidR="0077631D" w:rsidRPr="003638C8" w:rsidRDefault="0077631D">
            <w:pPr>
              <w:rPr>
                <w:rFonts w:ascii="Book Antiqua" w:eastAsia="Book Antiqua" w:hAnsi="Book Antiqua" w:cs="Book Antiqua"/>
                <w:b/>
                <w:sz w:val="18"/>
                <w:szCs w:val="18"/>
              </w:rPr>
            </w:pPr>
          </w:p>
        </w:tc>
        <w:tc>
          <w:tcPr>
            <w:tcW w:w="6945" w:type="dxa"/>
          </w:tcPr>
          <w:p w14:paraId="4EAD909A" w14:textId="77777777" w:rsidR="0077631D" w:rsidRPr="003638C8" w:rsidRDefault="0077631D">
            <w:pPr>
              <w:spacing w:line="276" w:lineRule="auto"/>
              <w:jc w:val="both"/>
              <w:rPr>
                <w:rFonts w:ascii="Book Antiqua" w:eastAsia="Book Antiqua" w:hAnsi="Book Antiqua" w:cs="Book Antiqua"/>
                <w:sz w:val="18"/>
                <w:szCs w:val="18"/>
              </w:rPr>
            </w:pPr>
          </w:p>
        </w:tc>
      </w:tr>
    </w:tbl>
    <w:p w14:paraId="298870D3" w14:textId="77777777" w:rsidR="0077631D" w:rsidRPr="003638C8" w:rsidRDefault="0077631D">
      <w:pPr>
        <w:widowControl w:val="0"/>
        <w:rPr>
          <w:rFonts w:ascii="Book Antiqua" w:hAnsi="Book Antiqua"/>
          <w:sz w:val="20"/>
          <w:szCs w:val="20"/>
        </w:rPr>
        <w:sectPr w:rsidR="0077631D" w:rsidRPr="003638C8" w:rsidSect="00CA32AE">
          <w:headerReference w:type="default" r:id="rId12"/>
          <w:footerReference w:type="default" r:id="rId13"/>
          <w:headerReference w:type="first" r:id="rId14"/>
          <w:footerReference w:type="first" r:id="rId15"/>
          <w:pgSz w:w="11894" w:h="16157"/>
          <w:pgMar w:top="1134" w:right="851" w:bottom="1134" w:left="851" w:header="709" w:footer="1140" w:gutter="0"/>
          <w:pgNumType w:start="371"/>
          <w:cols w:space="720"/>
          <w:titlePg/>
        </w:sectPr>
      </w:pPr>
    </w:p>
    <w:p w14:paraId="725D2A49" w14:textId="77777777" w:rsidR="0077631D" w:rsidRPr="003638C8" w:rsidRDefault="002C5B73" w:rsidP="00AA0ED6">
      <w:pPr>
        <w:rPr>
          <w:rFonts w:ascii="Book Antiqua" w:eastAsia="Book Antiqua" w:hAnsi="Book Antiqua" w:cs="Book Antiqua"/>
          <w:i/>
          <w:color w:val="FF0000"/>
          <w:sz w:val="20"/>
          <w:szCs w:val="20"/>
        </w:rPr>
      </w:pPr>
      <w:r w:rsidRPr="003638C8">
        <w:rPr>
          <w:rFonts w:ascii="Book Antiqua" w:eastAsia="Book Antiqua" w:hAnsi="Book Antiqua" w:cs="Book Antiqua"/>
          <w:b/>
          <w:sz w:val="22"/>
          <w:szCs w:val="22"/>
        </w:rPr>
        <w:t>Introduction</w:t>
      </w:r>
      <w:r w:rsidRPr="003638C8">
        <w:rPr>
          <w:rFonts w:ascii="Book Antiqua" w:eastAsia="Book Antiqua" w:hAnsi="Book Antiqua" w:cs="Book Antiqua"/>
          <w:b/>
          <w:sz w:val="20"/>
          <w:szCs w:val="20"/>
        </w:rPr>
        <w:t xml:space="preserve"> </w:t>
      </w:r>
    </w:p>
    <w:p w14:paraId="1A7A4EEA" w14:textId="77777777" w:rsidR="00A259C6" w:rsidRDefault="00A259C6" w:rsidP="00A259C6">
      <w:pPr>
        <w:ind w:firstLine="426"/>
        <w:jc w:val="both"/>
        <w:rPr>
          <w:rFonts w:ascii="Book Antiqua" w:eastAsia="Book Antiqua" w:hAnsi="Book Antiqua" w:cs="Book Antiqua"/>
          <w:sz w:val="20"/>
          <w:szCs w:val="20"/>
        </w:rPr>
      </w:pPr>
      <w:bookmarkStart w:id="0" w:name="_Hlk227156463"/>
    </w:p>
    <w:p w14:paraId="759FB8B5" w14:textId="2E38F67E" w:rsidR="005005C2" w:rsidRPr="00A259C6" w:rsidRDefault="005005C2" w:rsidP="00A259C6">
      <w:pPr>
        <w:ind w:firstLine="426"/>
        <w:jc w:val="both"/>
        <w:rPr>
          <w:rFonts w:ascii="Book Antiqua" w:eastAsia="MS Mincho" w:hAnsi="Book Antiqua"/>
          <w:sz w:val="20"/>
          <w:szCs w:val="20"/>
        </w:rPr>
      </w:pPr>
      <w:r w:rsidRPr="00A259C6">
        <w:rPr>
          <w:rFonts w:ascii="Book Antiqua" w:eastAsia="MS Mincho" w:hAnsi="Book Antiqua"/>
          <w:sz w:val="20"/>
          <w:szCs w:val="20"/>
        </w:rPr>
        <w:t>Climate change has emerged as a critical global challenge, with profound impacts on regional hydrological systems, particularly in tropical countries such as Indonesia. The effects of climate change are clearly evident across the globe, as climate directly or indirectly influences the global fabric of human life—not only in the natural world but also in the economic, social, and cultural sectors</w:t>
      </w:r>
      <w:bookmarkEnd w:id="0"/>
      <w:r w:rsidRPr="00A259C6">
        <w:rPr>
          <w:rFonts w:ascii="Book Antiqua" w:eastAsia="MS Mincho" w:hAnsi="Book Antiqua"/>
          <w:sz w:val="20"/>
          <w:szCs w:val="20"/>
        </w:rPr>
        <w:t xml:space="preserve"> </w:t>
      </w:r>
      <w:r w:rsidR="00BF4E56" w:rsidRPr="00A259C6">
        <w:rPr>
          <w:rFonts w:ascii="Book Antiqua" w:eastAsia="MS Mincho" w:hAnsi="Book Antiqua"/>
          <w:sz w:val="20"/>
          <w:szCs w:val="20"/>
        </w:rPr>
        <w:fldChar w:fldCharType="begin" w:fldLock="1"/>
      </w:r>
      <w:r w:rsidR="00A259C6">
        <w:rPr>
          <w:rFonts w:ascii="Book Antiqua" w:eastAsia="MS Mincho" w:hAnsi="Book Antiqua"/>
          <w:sz w:val="20"/>
          <w:szCs w:val="20"/>
        </w:rPr>
        <w:instrText>ADDIN CSL_CITATION {"citationItems":[{"id":"ITEM-1","itemData":{"DOI":"10.1186/s40645-020-00386-4","ISBN":"4064502000","ISSN":"21974284","abstract":"Climate change will have a significant impact on the water cycle and will lead to severe environmental problems and disasters in humid tropical river basins. Examples include river basins in Sumatra Island, Indonesia, where the coastal lowland areas are mostly composed of peatland that is a wetland environment initially sustained by flooding from rivers. Climate change may alter the frequency and magnitude of flood inundation in these lowland areas, disturbing the peatland environment and its carbon dynamics and damaging agricultural plantations. Consequently, projecting the extent of inundation due to future flooding events is considered important for river basin management. Using dynamically downscaled climate data obtained by the Non-Hydrostatic Regional Climate Model (NHRCM), the Rainfall-Runoff-Inundation (RRI) model was applied to the Batanghari River Basin (42,960 km2) in Sumatra Island, Indonesia, to project the extent of flood inundation in the latter part of the twenty-first century. In order to obtain reasonable estimates of the extent of future flood inundation, this study compared two bias correction methods: a Quantile Mapping (QM) method and a combination of QM and Variance Scaling (VS) methods. The results showed that the bias correction obtained by the QM method improved the simulated flow duration curve (FDC) obtained from the RRI model, which facilitated comparison with the simulated FDC using reference rainfall data. However, the high spatial variability observed in daily and 15-day rainfall data remained as the spatial variation bias, and this could not be resolved by simple QM bias correction alone. Consequently, the simulated extreme variables, such as annual maximum flood inundation volume, were overestimated compared to the reference data. By introducing QM-VS bias correction, the cumulative density functions of annual maximum discharge and inundation volumes were improved. The findings also showed that flooding will increase in this region; for example, the flood inundation volume corresponding to a 20-year return period will increase by 3.3 times. River basin management measures, such as land use regulations for plantations and wetland conservation, should therefore consider increases in flood depth and area, the extents of which under a future climate scenario are presented in this study. [Figure not available: see fulltext.]","author":[{"dropping-particle":"","family":"Yamamoto","given":"Kodai","non-dropping-particle":"","parse-names":false,"suffix":""},{"dropping-particle":"","family":"Sayama","given":"Takahiro","non-dropping-particle":"","parse-names":false,"suffix":""},{"dropping-particle":"","family":"Apip","given":"","non-dropping-particle":"","parse-names":false,"suffix":""}],"container-title":"Progress in Earth and Planetary Science","id":"ITEM-1","issue":"1","issued":{"date-parts":[["2021"]]},"publisher":"Progress in Earth and Planetary Science","title":"Impact of climate change on flood inundation in a tropical river basin in Indonesia","type":"article-journal","volume":"8"},"uris":["http://www.mendeley.com/documents/?uuid=2a3036ff-df72-4527-bf90-909b96a82726","http://www.mendeley.com/documents/?uuid=f1a57c7e-324f-4485-8911-b4eda31774dc"]}],"mendeley":{"formattedCitation":"(Yamamoto et al., 2021)","manualFormatting":"(Yamamoto et al., 2021","plainTextFormattedCitation":"(Yamamoto et al., 2021)","previouslyFormattedCitation":"(Yamamoto et al., 2021)"},"properties":{"noteIndex":0},"schema":"https://github.com/citation-style-language/schema/raw/master/csl-citation.json"}</w:instrText>
      </w:r>
      <w:r w:rsidR="00BF4E56"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(Yamamoto et al., 2021</w:t>
      </w:r>
      <w:r w:rsidR="00BF4E56" w:rsidRPr="00A259C6">
        <w:rPr>
          <w:rFonts w:ascii="Book Antiqua" w:eastAsia="MS Mincho" w:hAnsi="Book Antiqua"/>
          <w:sz w:val="20"/>
          <w:szCs w:val="20"/>
        </w:rPr>
        <w:fldChar w:fldCharType="end"/>
      </w:r>
      <w:r w:rsidR="00BF4E56"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{"citationItems":[{"id":"ITEM-1","itemData":{"DOI":"10.56963/judiateks.v2i2.441","abstract":"ABSTRAK Perubahan iklim memiliki dampak yang sangat signifikan terhadap siklus kehidupan manusia dan menjadi salah satu isi lingkungan global yang penting dan memerlukan perhatian yang besar untuk memitigasi perubahan iklim. Penelitian ini bertujuan untuk mengidentifikasi tipe iklim berdasarkan klasifikasi Schmidt-Ferguson. Metode penelitian yang digunakan adalah metode survei dan kajian literatur. Penelitian ini menggunakan data sekunder berupa data curah hujan, kelembaban udara, suhu udara, serta arah dan kecepatan angin. Dari penelitian ini diperoleh hasil bahwa berdasarkan klasifikasi iklim dengan metode Schmidt–Ferguson. Hasil penelitian terhadap klasifikasi tipe iklim Danau Tempe memiliki tipe Iklim A yang termasuk dalam wilayah dengan vegetasi hutan hujan tropika yang beriklim sangat basah. Hal ini sejalan dengan kondisi sektor perkebunan tanian sekitar lokasi penelitian, dimana sebagian besar wilayahnya subur dan ditumbuhi palawija. Dengan klasifikasi vegetasi hutan hujan yang beriklim basah adanya curah hujan tinggi maka berpengaruh terhadap kelembaban menjadi tinggi, suhu menjadi rendah, dan arah angin yang dominan bergerak ke arah barat daya. Kata kunci : curah hujan, klasifikasi Iklim, Schmidt – Ferguson","author":[{"dropping-particle":"","family":"Leonard","given":"Franita","non-dropping-particle":"","parse-names":false,"suffix":""},{"dropping-particle":"","family":"Hasanuddin","given":"","non-dropping-particle":"","parse-names":false,"suffix":""},{"dropping-particle":"","family":"Wahyuni","given":"","non-dropping-particle":"","parse-names":false,"suffix":""},{"dropping-particle":"","family":"Vinsensia Paola Prattyni","given":"","non-dropping-particle":"","parse-names":false,"suffix":""}],"container-title":"Jurnal Media Teknik Sipil","id":"ITEM-1","issue":"2","issued":{"date-parts":[["2024"]]},"page":"12-21","title":"ANALISIS CURAH HUJAN DAN KLASIFIKASI TIPE IKLIM MENGGUNAKAN METODE SCHMIDT-FERGUSON (STUDI KASUS: DANAU TEMPE)","type":"article-journal","volume":"2"},"uris":["http://www.mendeley.com/documents/?uuid=5e6299cf-1de5-4774-9a5e-ddbe37ad7270"]}],"mendeley":{"formattedCitation":"(Leonard et al., 2024)","plainTextFormattedCitation":"(Leonard et al., 2024)","previouslyFormattedCitation":"(Leonard et al., 2024)"},"properties":{"noteIndex":0},"schema":"https://github.com/citation-style-language/schema/raw/master/csl-citation.json"}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Leonard et al., 2024</w:t>
      </w:r>
      <w:r w:rsidRPr="00A259C6">
        <w:rPr>
          <w:rFonts w:ascii="Book Antiqua" w:eastAsia="MS Mincho" w:hAnsi="Book Antiqua"/>
          <w:sz w:val="20"/>
          <w:szCs w:val="20"/>
        </w:rPr>
        <w:fldChar w:fldCharType="end"/>
      </w:r>
      <w:r w:rsidR="00DC500D" w:rsidRPr="00A259C6">
        <w:rPr>
          <w:rFonts w:ascii="Book Antiqua" w:eastAsia="MS Mincho" w:hAnsi="Book Antiqua"/>
          <w:sz w:val="20"/>
          <w:szCs w:val="20"/>
        </w:rPr>
        <w:t xml:space="preserve">; </w:t>
      </w:r>
      <w:r w:rsidR="00DC500D"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{"citationItems":[{"id":"ITEM-1","itemData":{"DOI":"10.1016/j.wse.2024.03.005","ISSN":"24058106","abstract":"Located downstream the Kupang Catchment in Indonesia, Pekalongan faces significant land subsidence issues, leading to severe coastal flooding. This study aimed to assess the impact of climate change on future flow regimes and hydrological extremes to inform long-term water resources management strategies for the Kupang Catchment. Utilizing precipitation and air temperature data from general circulation models in the Coupled Model Intercomparison Project 6 (CMIP6) and employing bias correction techniques, the Soil and Water Assessment Tool (SWAT) hydrological model was employed to analyze climate-induced changes in hydrological fluxes, specifically streamflow. Results indicated a consistent increase in monthly streamflow during the wet season, with a substantial rise of 22.8%, alongside a slight decrease of 18.0% during the dry season. Moreover, both the frequency and severity of extremely low and high flows were projected to intensify by approximately 50% and 70%, respectively, for a 20-year return period, suggesting heightened flood and drought risks in the future. The observed declining trend in low flow, by up to 11%, indicated the potential for long-term groundwater depletion exacerbating the threat of land subsidence and coastal flooding, especially in areas with inadequate surface water management policies and infrastructure.","author":[{"dropping-particle":"","family":"Gradiyanto","given":"Fernaldi","non-dropping-particle":"","parse-names":false,"suffix":""},{"dropping-particle":"","family":"Parmantoro","given":"Priyo Nugroho","non-dropping-particle":"","parse-names":false,"suffix":""},{"dropping-particle":"","family":"Suharyanto","given":"","non-dropping-particle":"","parse-names":false,"suffix":""}],"container-title":"Water Science and Engineering","id":"ITEM-1","issue":"1","issued":{"date-parts":[["2025"]]},"page":"69-77","publisher":"Hohai University","title":"Impact of climate change on Kupang River flow and hydrological extremes in Greater Pekalongan, Indonesia","type":"article-journal","volume":"18"},"uris":["http://www.mendeley.com/documents/?uuid=a1829aca-12e0-4e30-b7f3-e23dcd173ff7"]}],"mendeley":{"formattedCitation":"(Gradiyanto et al., 2025)","plainTextFormattedCitation":"(Gradiyanto et al., 2025)","previouslyFormattedCitation":"(Gradiyanto et al., 2025)"},"properties":{"noteIndex":0},"schema":"https://github.com/citation-style-language/schema/raw/master/csl-citation.json"}</w:instrText>
      </w:r>
      <w:r w:rsidR="00DC500D"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Gradiyanto et al., 2025)</w:t>
      </w:r>
      <w:r w:rsidR="00DC500D" w:rsidRPr="00A259C6">
        <w:rPr>
          <w:rFonts w:ascii="Book Antiqua" w:eastAsia="MS Mincho" w:hAnsi="Book Antiqua"/>
          <w:sz w:val="20"/>
          <w:szCs w:val="20"/>
        </w:rPr>
        <w:fldChar w:fldCharType="end"/>
      </w:r>
      <w:r w:rsidR="002823EA" w:rsidRPr="00A259C6">
        <w:rPr>
          <w:rFonts w:ascii="Book Antiqua" w:eastAsia="MS Mincho" w:hAnsi="Book Antiqua"/>
          <w:sz w:val="20"/>
          <w:szCs w:val="20"/>
        </w:rPr>
        <w:t>.</w:t>
      </w:r>
      <w:r w:rsidR="0080286A" w:rsidRPr="00A259C6">
        <w:rPr>
          <w:rFonts w:ascii="Book Antiqua" w:eastAsia="MS Mincho" w:hAnsi="Book Antiqua"/>
          <w:sz w:val="20"/>
          <w:szCs w:val="20"/>
        </w:rPr>
        <w:t xml:space="preserve"> </w:t>
      </w:r>
      <w:r w:rsidRPr="00A259C6">
        <w:rPr>
          <w:rFonts w:ascii="Book Antiqua" w:eastAsia="MS Mincho" w:hAnsi="Book Antiqua"/>
          <w:sz w:val="20"/>
          <w:szCs w:val="20"/>
        </w:rPr>
        <w:t>As an archipelagic nation located in the equatorial zone and influenced by the complex interaction between the oceans and the continent, Indonesia is highly vulnerable to climate variability, particularly in terms of rainfall patterns</w:t>
      </w:r>
      <w:r w:rsidR="00544C38" w:rsidRPr="00A259C6">
        <w:rPr>
          <w:rFonts w:ascii="Book Antiqua" w:eastAsia="MS Mincho" w:hAnsi="Book Antiqua"/>
          <w:sz w:val="20"/>
          <w:szCs w:val="20"/>
        </w:rPr>
        <w:t xml:space="preserve"> </w:t>
      </w:r>
      <w:r w:rsidR="00544C38"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{"citationItems":[{"id":"ITEM-1","itemData":{"DOI":"10.29244/j.agromet.38.2.78-87","ISSN":"0126-3633","abstract":"Indonesia, as a maritime continent, is vulnerable to environmental disasters such as floods and landslides due to extreme rainfall. This study aims to identify changes in the influence of ENSO and IOD on extreme rainfall across Indonesia, specifically during the September-October-November period. We used rainfall and sea surface temperature data from the CMIP6 climate model for the historical period (1985-2014), near-future (2031-2060), and far-future (2061-2090) projections under SSP2-4.5 and SSP 5-8.5 climate scenarios. The relation between rainfall dan ENSO/IOD was simply defined by linear regression approach. We analyzed the change of influence by comparing the historical and the future condition. The results indicated that the changes in the teleconnection of ENSO and IOD to extreme rainfall in future is consistently negative, except for Java (near-future) and Kalimantan and southern Sumatra (far-future). Our finding revealed that significant changes in the teleconnection varied throughout maritime continent. The maximum change was found in Northern Kalimantan, which reached values of -80 mm/°C due to ENSO and -180 mm/°C due to IOD for near future. These findings highlight the spatial variability in teleconnection changes across Indonesia, underscoring the need for region-specific climate adaptation measures in response to evolving extreme rainfall patterns.","author":[{"dropping-particle":"","family":"Hanifa","given":"Risyda","non-dropping-particle":"","parse-names":false,"suffix":""},{"dropping-particle":"","family":"Wiratmo","given":"Joko","non-dropping-particle":"","parse-names":false,"suffix":""}],"container-title":"Agromet","id":"ITEM-1","issue":"2","issued":{"date-parts":[["2024"]]},"page":"78-87","title":"ENSO and IOD Influence on Extreme Rainfall in Indonesia: Historical and Future Analysis","type":"article-journal","volume":"38"},"uris":["http://www.mendeley.com/documents/?uuid=8f001d0a-5369-47ee-82ee-a55d55fc0751"]}],"mendeley":{"formattedCitation":"(Hanifa &amp; Wiratmo, 2024)","plainTextFormattedCitation":"(Hanifa &amp; Wiratmo, 2024)","previouslyFormattedCitation":"(Hanifa &amp; Wiratmo, 2024)"},"properties":{"noteIndex":0},"schema":"https://github.com/citation-style-language/schema/raw/master/csl-citation.json"}</w:instrText>
      </w:r>
      <w:r w:rsidR="00544C38"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(Hanifa &amp; Wiratmo, 2024</w:t>
      </w:r>
      <w:r w:rsidR="00544C38" w:rsidRPr="00A259C6">
        <w:rPr>
          <w:rFonts w:ascii="Book Antiqua" w:eastAsia="MS Mincho" w:hAnsi="Book Antiqua"/>
          <w:sz w:val="20"/>
          <w:szCs w:val="20"/>
        </w:rPr>
        <w:fldChar w:fldCharType="end"/>
      </w:r>
      <w:r w:rsidR="00544C38" w:rsidRPr="00A259C6">
        <w:rPr>
          <w:rFonts w:ascii="Book Antiqua" w:eastAsia="MS Mincho" w:hAnsi="Book Antiqua"/>
          <w:sz w:val="20"/>
          <w:szCs w:val="20"/>
        </w:rPr>
        <w:t>;</w:t>
      </w:r>
      <w:r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{"citationItems":[{"id":"ITEM-1","itemData":{"DOI":"10.31172/jmg.v24i2.1049","ISSN":"1411-3082","abstract":"The IMR variability is notorious for its hydrometeorological disasters. This paper examines recent studies on IMR and the main factors controlling its variability. The focus of this study is to investigate the impact of the atmosphere-ocean interaction that acts as the external forcing of IMR in the tropical Indian and Pacific Oceans. Specifically, the study will examine the influence of two climate phenomena, namely the El Nino Southern Oscillation (ENSO) and the Indian Ocean Dipole (IOD) and their interdecadal changes associated Pacific Decadal Oscillation (PDO), on the IMR. The review followed the Preferred Reporting Items for Systematic Reviews and Meta-Analyses (PRISMA) approach. Furthermore, data sets (such as rainfall, wind field, and SST) spanning 1990-2020 were used to verify the key findings. In general, this study concludes that the majority of the authors coincided with the following conclusion: ENSO and IOD events impact IMR by changing its amplitude, duration, intensity, and frequency of mean and extreme rainfall. Additionally, it has been shown that their impacts on IMR are most substantial during the dry seasons, specifically in June, July, and August (JJA), and not as strong as during the wet seasons, specifically in December, January, and February (DJF). Spatially, the effects of ENSO and IOD on IMR variability are clearly found more eastward and westward of the region, respectively. The expansions towards the east and west directions were facilitated by the displacement of the ascending and descending of Walker circulation patterns in the Indonesian region, respectively. Given the interannual fluctuations in IMR, caused mainly by ocean-atmosphere interactions, the knowledge gap of atmospheric factors like the Quasi-Biennial Oscillation (QBO) must be investigated in the future, as suggested by previous research and our preliminary study.","author":[{"dropping-particle":"","family":"Mulsandi","given":"Adi","non-dropping-particle":"","parse-names":false,"suffix":""},{"dropping-particle":"","family":"Koesmaryono","given":"Yonny","non-dropping-particle":"","parse-names":false,"suffix":""},{"dropping-particle":"","family":"Hidayat","given":"Rahmat","non-dropping-particle":"","parse-names":false,"suffix":""},{"dropping-particle":"","family":"Faqih","given":"Akhmad","non-dropping-particle":"","parse-names":false,"suffix":""},{"dropping-particle":"","family":"Sopaheluwakan","given":"Ardhasena","non-dropping-particle":"","parse-names":false,"suffix":""}],"container-title":"Jurnal Meteorologi dan Geofisika","id":"ITEM-1","issue":"2","issued":{"date-parts":[["2024"]]},"page":"115-127","title":"On The Interannual Variability of Indonesian Monsoon Rainfall (IMR): A Literature Review of The Role of its External Forcing","type":"article-journal","volume":"24"},"uris":["http://www.mendeley.com/documents/?uuid=69e4d9df-7382-4535-8e7d-8c93e76d4f16"]}],"mendeley":{"formattedCitation":"(Mulsandi et al., 2024)","plainTextFormattedCitation":"(Mulsandi et al., 2024)","previouslyFormattedCitation":"(Mulsandi et al., 2024)"},"properties":{"noteIndex":0},"schema":"https://github.com/citation-style-language/schema/raw/master/csl-citation.json"}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Mulsandi et al., 2024)</w:t>
      </w:r>
      <w:r w:rsidRPr="00A259C6">
        <w:rPr>
          <w:rFonts w:ascii="Book Antiqua" w:eastAsia="MS Mincho" w:hAnsi="Book Antiqua"/>
          <w:sz w:val="20"/>
          <w:szCs w:val="20"/>
        </w:rPr>
        <w:fldChar w:fldCharType="end"/>
      </w:r>
      <w:r w:rsidRPr="00A259C6">
        <w:rPr>
          <w:rFonts w:ascii="Book Antiqua" w:eastAsia="MS Mincho" w:hAnsi="Book Antiqua"/>
          <w:sz w:val="20"/>
          <w:szCs w:val="20"/>
        </w:rPr>
        <w:t xml:space="preserve">. Recent studies indicate that the occurrence of extreme rainfall associated with the monsoon system is increasing in both frequency and intensity, thereby heightening the risk of hydrometeorological disasters such as floods, landslides, and droughts </w:t>
      </w:r>
      <w:r w:rsidR="004D5EE8"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{"citationItems":[{"id":"ITEM-1","itemData":{"DOI":"10.1175/BAMS-D-19-0335.1","ISSN":"00030007","abstract":"Monsoon rainfall has profound economic and societal impacts for more than two-thirds of the global population. Here we provide a review on past monsoon changes and their primary drivers, the projected future changes, and key physical processes, and discuss challenges of the present and future modeling and outlooks. Continued global warming and urbanization over the past century has already caused a significant rise in the intensity and frequency of extreme rainfall events in all monsoon regions (high confidence). Observed changes in the mean monsoon rainfall vary by region with significant decadal variations. Northern Hemisphere land monsoon rainfall as a whole declined from 1950 to 1980 and rebounded after the 1980s, due to the competing influences of internal climate variability and radiative forcing from greenhouse gases and aerosol forcing (high confidence); however, it remains a challenge to quantify their relative contributions. The CMIP6 models simulate better global monsoon intensity and precipitation over CMIP5 models, but common biases and large intermodal spreads persist. Nevertheless, there is high confidence that the frequency and intensity of monsoon extreme rainfall events will increase, alongside an increasing risk of drought over some regions. Also, land monsoon rainfall will increase in South Asia and East Asia (high confidence) and northern Africa (medium confidence), decrease in North America, and be unchanged in the Southern Hemisphere. Over the Asian–Australian monsoon region, the rainfall variability is projected to increase on daily to decadal scales. The rainy season will likely be lengthened in the Northern Hemisphere due to late retreat (especially over East Asia), but shortened in the Southern Hemisphere due to delayed onset.","author":[{"dropping-particle":"","family":"Wang","given":"Bin","non-dropping-particle":"","parse-names":false,"suffix":""},{"dropping-particle":"","family":"Biasutti","given":"Michela","non-dropping-particle":"","parse-names":false,"suffix":""},{"dropping-particle":"","family":"Byrne","given":"Michael P.","non-dropping-particle":"","parse-names":false,"suffix":""},{"dropping-particle":"","family":"Castro","given":"Christopher","non-dropping-particle":"","parse-names":false,"suffix":""},{"dropping-particle":"","family":"Chang","given":"Chih Pei","non-dropping-particle":"","parse-names":false,"suffix":""},{"dropping-particle":"","family":"Cook","given":"Kerry","non-dropping-particle":"","parse-names":false,"suffix":""},{"dropping-particle":"","family":"Fu","given":"Rong","non-dropping-particle":"","parse-names":false,"suffix":""},{"dropping-particle":"","family":"Grimm","given":"Alice M.","non-dropping-particle":"","parse-names":false,"suffix":""},{"dropping-particle":"","family":"Ha","given":"Kyung Ja","non-dropping-particle":"","parse-names":false,"suffix":""},{"dropping-particle":"","family":"Hendon","given":"Harry","non-dropping-particle":"","parse-names":false,"suffix":""},{"dropping-particle":"","family":"Kitoh","given":"Akio","non-dropping-particle":"","parse-names":false,"suffix":""},{"dropping-particle":"","family":"Krishnan","given":"R.","non-dropping-particle":"","parse-names":false,"suffix":""},{"dropping-particle":"","family":"Lee","given":"June Yi","non-dropping-particle":"","parse-names":false,"suffix":""},{"dropping-particle":"","family":"Li","given":"Jianping","non-dropping-particle":"","parse-names":false,"suffix":""},{"dropping-particle":"","family":"Liu","given":"Jian","non-dropping-particle":"","parse-names":false,"suffix":""},{"dropping-particle":"","family":"Moise","given":"Aurel","non-dropping-particle":"","parse-names":false,"suffix":""},{"dropping-particle":"","family":"Pascale","given":"Salvatore","non-dropping-particle":"","parse-names":false,"suffix":""},{"dropping-particle":"","family":"Roxy","given":"M. K.","non-dropping-particle":"","parse-names":false,"suffix":""},{"dropping-particle":"","family":"Seth","given":"Anji","non-dropping-particle":"","parse-names":false,"suffix":""},{"dropping-particle":"","family":"Sui","given":"Chung Hsiung","non-dropping-particle":"","parse-names":false,"suffix":""},{"dropping-particle":"","family":"Turner","given":"Andrew","non-dropping-particle":"","parse-names":false,"suffix":""},{"dropping-particle":"","family":"Yang","given":"Song","non-dropping-particle":"","parse-names":false,"suffix":""},{"dropping-particle":"","family":"Yun","given":"Kyung Sook","non-dropping-particle":"","parse-names":false,"suffix":""},{"dropping-particle":"","family":"Zhang","given":"Lixia","non-dropping-particle":"","parse-names":false,"suffix":""},{"dropping-particle":"","family":"Zhou","given":"Tianjun","non-dropping-particle":"","parse-names":false,"suffix":""}],"container-title":"Bulletin of the American Meteorological Society","id":"ITEM-1","issue":"1","issued":{"date-parts":[["2021"]]},"page":"E1-E19","title":"Monsoons climate change assessment","type":"article-journal","volume":"102"},"uris":["http://www.mendeley.com/documents/?uuid=f7b351a7-ccd1-48c4-be4b-690469cee152"]}],"mendeley":{"formattedCitation":"(Wang et al., 2021)","plainTextFormattedCitation":"(Wang et al., 2021)","previouslyFormattedCitation":"(Wang et al., 2021)"},"properties":{"noteIndex":0},"schema":"https://github.com/citation-style-language/schema/raw/master/csl-citation.json"}</w:instrText>
      </w:r>
      <w:r w:rsidR="004D5EE8"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(Wang et al., 2021</w:t>
      </w:r>
      <w:r w:rsidR="004D5EE8" w:rsidRPr="00A259C6">
        <w:rPr>
          <w:rFonts w:ascii="Book Antiqua" w:eastAsia="MS Mincho" w:hAnsi="Book Antiqua"/>
          <w:sz w:val="20"/>
          <w:szCs w:val="20"/>
        </w:rPr>
        <w:fldChar w:fldCharType="end"/>
      </w:r>
      <w:r w:rsidR="00946D3A">
        <w:rPr>
          <w:rFonts w:ascii="Book Antiqua" w:eastAsia="MS Mincho" w:hAnsi="Book Antiqua"/>
          <w:sz w:val="20"/>
          <w:szCs w:val="20"/>
        </w:rPr>
        <w:t>;</w:t>
      </w:r>
      <w:r w:rsidR="004D5EE8"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{"citationItems":[{"id":"ITEM-1","itemData":{"DOI":"10.1088/2752-5295/acbfd5","ISSN":"27525295","abstract":"As a direct consequence of extreme monsoon rainfall throughout the summer 2022 season Pakistan experienced the worst flooding in its history. We employ a probabilistic event attribution methodology as well as a detailed assessment of the dynamics to understand the role of climate change in this event. Many of the available state-of-the-art climate models struggle to simulate these rainfall characteristics. Those that pass our evaluation test generally show a much smaller change in likelihood and intensity of extreme rainfall than the trend we found in the observations. This discrepancy suggests that long-term variability, or processes that our evaluation may not capture, can play an important role, rendering it infeasible to quantify the overall role of human-induced climate change. However, the majority of models and observations we have analysed show that intense rainfall has become heavier as Pakistan has warmed. Some of these models suggest climate change could have increased the rainfall intensity up to 50%. The devastating impacts were also driven by the proximity of human settlements, infrastructure (homes, buildings, bridges), and agricultural land to flood plains, inadequate infrastructure, limited ex-ante risk reduction capacity, an outdated river management system, underlying vulnerabilities driven by high poverty rates and socioeconomic factors (e.g. gender, age, income, and education), and ongoing political and economic instability. Both current conditions and the potential further increase in extreme peaks in rainfall over Pakistan in light of anthropogenic climate change, highlight the urgent need to reduce vulnerability to extreme weather in Pakistan.","author":[{"dropping-particle":"","family":"Otto","given":"Friederike E.L.","non-dropping-particle":"","parse-names":false,"suffix":""},{"dropping-particle":"","family":"Zachariah","given":"Mariam","non-dropping-particle":"","parse-names":false,"suffix":""},{"dropping-particle":"","family":"Saeed","given":"Fahad","non-dropping-particle":"","parse-names":false,"suffix":""},{"dropping-particle":"","family":"Siddiqi","given":"Ayesha","non-dropping-particle":"","parse-names":false,"suffix":""},{"dropping-particle":"","family":"Kamil","given":"Shahzad","non-dropping-particle":"","parse-names":false,"suffix":""},{"dropping-particle":"","family":"Mushtaq","given":"Haris","non-dropping-particle":"","parse-names":false,"suffix":""},{"dropping-particle":"","family":"Arulalan","given":"T.","non-dropping-particle":"","parse-names":false,"suffix":""},{"dropping-particle":"","family":"AchutaRao","given":"Krishna","non-dropping-particle":"","parse-names":false,"suffix":""},{"dropping-particle":"","family":"Chaithra","given":"S. T.","non-dropping-particle":"","parse-names":false,"suffix":""},{"dropping-particle":"","family":"Barnes","given":"Clair","non-dropping-particle":"","parse-names":false,"suffix":""},{"dropping-particle":"","family":"Philip","given":"Sjoukje","non-dropping-particle":"","parse-names":false,"suffix":""},{"dropping-particle":"","family":"Kew","given":"Sarah","non-dropping-particle":"","parse-names":false,"suffix":""},{"dropping-particle":"","family":"Vautard","given":"Robert","non-dropping-particle":"","parse-names":false,"suffix":""},{"dropping-particle":"","family":"Koren","given":"Gerbrand","non-dropping-particle":"","parse-names":false,"suffix":""},{"dropping-particle":"","family":"Pinto","given":"Izidine","non-dropping-particle":"","parse-names":false,"suffix":""},{"dropping-particle":"","family":"Wolski","given":"Piotr","non-dropping-particle":"","parse-names":false,"suffix":""},{"dropping-particle":"","family":"Vahlberg","given":"Maja","non-dropping-particle":"","parse-names":false,"suffix":""},{"dropping-particle":"","family":"Singh","given":"Roop","non-dropping-particle":"","parse-names":false,"suffix":""},{"dropping-particle":"","family":"Arrighi","given":"Julie","non-dropping-particle":"","parse-names":false,"suffix":""},{"dropping-particle":"","family":"Aalst","given":"Maarten","non-dropping-particle":"van","parse-names":false,"suffix":""},{"dropping-particle":"","family":"Thalheimer","given":"Lisa","non-dropping-particle":"","parse-names":false,"suffix":""},{"dropping-particle":"","family":"Raju","given":"Emmanuel","non-dropping-particle":"","parse-names":false,"suffix":""},{"dropping-particle":"","family":"Li","given":"Sihan","non-dropping-particle":"","parse-names":false,"suffix":""},{"dropping-particle":"","family":"Yang","given":"Wenchang","non-dropping-particle":"","parse-names":false,"suffix":""},{"dropping-particle":"","family":"Harrington","given":"Luke J.","non-dropping-particle":"","parse-names":false,"suffix":""},{"dropping-particle":"","family":"Clarke","given":"Ben","non-dropping-particle":"","parse-names":false,"suffix":""}],"container-title":"Environmental Research: Climate","id":"ITEM-1","issue":"2","issued":{"date-parts":[["2023"]]},"title":"Climate change increased extreme monsoon rainfall, flooding highly vulnerable communities in Pakistan","type":"article-journal","volume":"2"},"uris":["http://www.mendeley.com/documents/?uuid=01dec60a-439a-49e2-90c3-cb251fe0979a"]}],"mendeley":{"formattedCitation":"(Otto et al., 2023)","plainTextFormattedCitation":"(Otto et al., 2023)","previouslyFormattedCitation":"(Otto et al., 2023)"},"properties":{"noteIndex":0},"schema":"https://github.com/citation-style-language/schema/raw/master/csl-citation.json"}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Otto et al., 2023)</w:t>
      </w:r>
      <w:r w:rsidRPr="00A259C6">
        <w:rPr>
          <w:rFonts w:ascii="Book Antiqua" w:eastAsia="MS Mincho" w:hAnsi="Book Antiqua"/>
          <w:sz w:val="20"/>
          <w:szCs w:val="20"/>
        </w:rPr>
        <w:fldChar w:fldCharType="end"/>
      </w:r>
      <w:r w:rsidRPr="00A259C6">
        <w:rPr>
          <w:rFonts w:ascii="Book Antiqua" w:eastAsia="MS Mincho" w:hAnsi="Book Antiqua"/>
          <w:sz w:val="20"/>
          <w:szCs w:val="20"/>
        </w:rPr>
        <w:t>.</w:t>
      </w:r>
    </w:p>
    <w:p w14:paraId="2C97A138" w14:textId="755D35F9" w:rsidR="005005C2" w:rsidRPr="00A259C6" w:rsidRDefault="005005C2" w:rsidP="00A259C6">
      <w:pPr>
        <w:ind w:firstLine="426"/>
        <w:jc w:val="both"/>
        <w:rPr>
          <w:rFonts w:ascii="Book Antiqua" w:eastAsia="MS Mincho" w:hAnsi="Book Antiqua"/>
          <w:sz w:val="20"/>
          <w:szCs w:val="20"/>
        </w:rPr>
      </w:pPr>
      <w:bookmarkStart w:id="1" w:name="_Hlk227156445"/>
      <w:r w:rsidRPr="00A259C6">
        <w:rPr>
          <w:rFonts w:ascii="Book Antiqua" w:eastAsia="MS Mincho" w:hAnsi="Book Antiqua"/>
          <w:sz w:val="20"/>
          <w:szCs w:val="20"/>
        </w:rPr>
        <w:t xml:space="preserve">Rainfall plays a fundamental role in climate classification, as it reflects the temporal and spatial distribution of water availability in a region </w:t>
      </w:r>
      <w:r w:rsidR="00610AA0"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{"citationItems":[{"id":"ITEM-1","itemData":{"DOI":"10.1080/23754931.2020.1847728","author":[{"dropping-particle":"","family":"Vijith","given":"H","non-dropping-particle":"","parse-names":false,"suffix":""}],"container-title":"Papers in Applied Geography","id":"ITEM-1","issue":"0","issued":{"date-parts":[["2020"]]},"page":"1-30","publisher":"Routledge","title":"Papers in Applied Geography Statistical Trend Characteristics of Rainfall in the Baram River Basin ( Malaysian Borneo ) Statistical Trend Characteristics of Rainfall in the Baram River Basin ( Malaysian Borneo )","type":"article-journal","volume":"0"},"uris":["http://www.mendeley.com/documents/?uuid=a0b9d749-5566-4561-8512-122fcf52fe17"]}],"mendeley":{"formattedCitation":"(Vijith, 2020)","plainTextFormattedCitation":"(Vijith, 2020)","previouslyFormattedCitation":"(Vijith, 2020)"},"properties":{"noteIndex":0},"schema":"https://github.com/citation-style-language/schema/raw/master/csl-citation.json"}</w:instrText>
      </w:r>
      <w:r w:rsidR="00610AA0"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(Vijith, 2020</w:t>
      </w:r>
      <w:r w:rsidR="00610AA0" w:rsidRPr="00A259C6">
        <w:rPr>
          <w:rFonts w:ascii="Book Antiqua" w:eastAsia="MS Mincho" w:hAnsi="Book Antiqua"/>
          <w:sz w:val="20"/>
          <w:szCs w:val="20"/>
        </w:rPr>
        <w:fldChar w:fldCharType="end"/>
      </w:r>
      <w:r w:rsidR="00610AA0" w:rsidRPr="00A259C6">
        <w:rPr>
          <w:rFonts w:ascii="Book Antiqua" w:eastAsia="MS Mincho" w:hAnsi="Book Antiqua"/>
          <w:sz w:val="20"/>
          <w:szCs w:val="20"/>
        </w:rPr>
        <w:t>;</w:t>
      </w:r>
      <w:r w:rsidRPr="00A259C6">
        <w:rPr>
          <w:rFonts w:ascii="Book Antiqua" w:eastAsia="MS Mincho" w:hAnsi="Book Antiqua"/>
          <w:sz w:val="20"/>
          <w:szCs w:val="20"/>
        </w:rPr>
        <w:t xml:space="preserve"> </w:t>
      </w:r>
      <w:r w:rsidR="002823EA"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{"citationItems":[{"id":"ITEM-1","itemData":{"DOI":"10.29408/kpj.v7i3.23128","author":[{"dropping-particle":"","family":"Hidayat","given":"Alyi Savitri Astriyani","non-dropping-particle":"","parse-names":false,"suffix":""},{"dropping-particle":"","family":"Baskoro","given":"Winardi Tjahyo","non-dropping-particle":"","parse-names":false,"suffix":""},{"dropping-particle":"","family":"Unsuriyah","given":"Zumrotul","non-dropping-particle":"","parse-names":false,"suffix":""},{"dropping-particle":"","family":"Yuliara","given":"I Made","non-dropping-particle":"","parse-names":false,"suffix":""},{"dropping-particle":"","family":"Widagda","given":"I Gusti Agung","non-dropping-particle":"","parse-names":false,"suffix":""},{"dropping-particle":"","family":"Pramarta","given":"Ida Bagus Alit","non-dropping-particle":"","parse-names":false,"suffix":""},{"dropping-particle":"","family":"Kurnia","given":"Wenas Ganda","non-dropping-particle":"","parse-names":false,"suffix":""}],"container-title":"Kappa Journal","id":"ITEM-1","issue":"3","issued":{"date-parts":[["2023"]]},"page":"488-492","title":"Analisis Spasial Penentuan Tipe Iklim Menurut Klasifikasi Schmidt-Ferguson Menggunakan Metode Thiessen-Polygon Di Kabupaten Bojonegoro Berdasarkan Data Curah Hujan Tahun 2016–2022","type":"article-journal","volume":"7"},"uris":["http://www.mendeley.com/documents/?uuid=80cea087-b3d5-4446-ad35-af8b488be8e5"]}],"mendeley":{"formattedCitation":"(Hidayat et al., 2023)","plainTextFormattedCitation":"(Hidayat et al., 2023)","previouslyFormattedCitation":"(Hidayat et al., 2023)"},"properties":{"noteIndex":0},"schema":"https://github.com/citation-style-language/schema/raw/master/csl-citation.json"}</w:instrText>
      </w:r>
      <w:r w:rsidR="002823EA"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Hidayat et al., 2023)</w:t>
      </w:r>
      <w:r w:rsidR="002823EA" w:rsidRPr="00A259C6">
        <w:rPr>
          <w:rFonts w:ascii="Book Antiqua" w:eastAsia="MS Mincho" w:hAnsi="Book Antiqua"/>
          <w:sz w:val="20"/>
          <w:szCs w:val="20"/>
        </w:rPr>
        <w:fldChar w:fldCharType="end"/>
      </w:r>
      <w:r w:rsidR="00BE41F5" w:rsidRPr="00A259C6">
        <w:rPr>
          <w:rFonts w:ascii="Book Antiqua" w:eastAsia="MS Mincho" w:hAnsi="Book Antiqua"/>
          <w:sz w:val="20"/>
          <w:szCs w:val="20"/>
        </w:rPr>
        <w:t>.</w:t>
      </w:r>
      <w:bookmarkEnd w:id="1"/>
      <w:r w:rsidRPr="00A259C6">
        <w:rPr>
          <w:rFonts w:ascii="Book Antiqua" w:eastAsia="MS Mincho" w:hAnsi="Book Antiqua"/>
          <w:sz w:val="20"/>
          <w:szCs w:val="20"/>
        </w:rPr>
        <w:t xml:space="preserve"> Rainfall is the amount of rain that falls in a specific area, measured on a daily, monthly, and annual basis in millimeters, and influenced by other factors </w:t>
      </w:r>
      <w:r w:rsidR="00843903"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{"citationItems":[{"id":"ITEM-1","itemData":{"DOI":"10.3390/w15234032","ISSN":"20734441","abstract":"This study investigated the temporal and spatial variations of precipitation duration and intensity in Jiangsu Province from 1960 to 2020 using the IDW spatial interpolation method and Kendall’s tau trend test, based on daily precipitation data collected from 22 meteorological stations. Additionally, a Pearson correlation analysis was conducted to examine the correlations between the occurrence rate and contribution rate of precipitation with different durations and grades, as well as five large-scale climate indices. The results indicated the following trends: (1) An increase in the precipitation duration corresponded to a decrease in the occurrence rates, while the contribution rates initially increased and then decreased. The province was predominantly characterized by 1–3 days of light rainfall, with a higher probability of short-duration heavy rainfall in northern Jiangsu. (2) From 1960 to 2020, most stations experienced decreasing trends in the precipitation duration occurrence and contribution rates, but heavy rainfall increased, suggesting a shift to short-duration heavy precipitation. (3) The Arctic Oscillation (AO) notably negatively correlates with the 9-day occurrence rate of precipitation (9dOR), while it positively correlates significantly with the occurrence rate of moderate rainfall (MROR). The North Atlantic Oscillation (NAO) exhibits a significant positive correlation with the 2-day occurrence rate of precipitation (2dOR) and a notable negative correlation with the 9-day occurrence rate of precipitation (9dOR). The PDO (Pacific Decadal Oscillation) has shown significant positive correlations with the 2-day precipitation occurrence rate (2dOR) and contribution rate (2dCR), a negative correlation with the light rainfall occurrence rate (LROR), and significant positive correlations with both the moderate and heavy rainfall occurrence rates (MROR and HROR, respectively). The AO, NAO, and PDO are potential climate factors that influence changes in the precipitation structure in Jiangsu Province. These research findings offer valuable insights for regional water resource management, flood risk assessment, and predicting future precipitation trends under climate change scenarios.","author":[{"dropping-particle":"","family":"Ren","given":"Zikang","non-dropping-particle":"","parse-names":false,"suffix":""},{"dropping-particle":"","family":"Zhao","given":"Huarong","non-dropping-particle":"","parse-names":false,"suffix":""},{"dropping-particle":"","family":"Shi","given":"Kangming","non-dropping-particle":"","parse-names":false,"suffix":""},{"dropping-particle":"","family":"Yang","given":"Guoliang","non-dropping-particle":"","parse-names":false,"suffix":""}],"container-title":"Water (Switzerland)","id":"ITEM-1","issue":"23","issued":{"date-parts":[["2023"]]},"title":"Spatial and Temporal Variations of the Precipitation Structure in Jiangsu Province from 1960 to 2020 and Its Potential Climate-Driving Factors","type":"article-journal","volume":"15"},"uris":["http://www.mendeley.com/documents/?uuid=30b7635b-6fbf-4629-b127-1b7609c47c7d"]}],"mendeley":{"formattedCitation":"(Ren et al., 2023)","plainTextFormattedCitation":"(Ren et al., 2023)","previouslyFormattedCitation":"(Ren et al., 2023)"},"properties":{"noteIndex":0},"schema":"https://github.com/citation-style-language/schema/raw/master/csl-citation.json"}</w:instrText>
      </w:r>
      <w:r w:rsidR="00843903"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(Ren et al., 2023</w:t>
      </w:r>
      <w:r w:rsidR="00843903" w:rsidRPr="00A259C6">
        <w:rPr>
          <w:rFonts w:ascii="Book Antiqua" w:eastAsia="MS Mincho" w:hAnsi="Book Antiqua"/>
          <w:sz w:val="20"/>
          <w:szCs w:val="20"/>
        </w:rPr>
        <w:fldChar w:fldCharType="end"/>
      </w:r>
      <w:r w:rsidR="00843903"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{"citationItems":[{"id":"ITEM-1","itemData":{"DOI":"10.23960/jtaf.v11i1.3076","ISSN":"2303016X","abstract":"Curah hujan di Indonesia memiliki tingkat keragaman, hal tersebut memberikan pengaruh yang besar terhadap kehidupan masyarakat di Indonesia. Sehingga ketersediaan data curah hujan menjadi hal penting untuk memahami karakteristik dan klasifikasi tipe iklim. Penelitian ini bertujuan untuk mengetahui pola curah hujan dan mengetahui tipe iklim berdasarkan metode Shmidt-Ferguson. Penelitian ini menggunakan data sekunder berupa data curah hujan, kelembaban, tekanan, suhu, arah dan kecepatan angin pada periode 2011-2020, data yang diolah menggunakan perangkat lunak Microsoft Excel, Minitab, WRPlot dan Arcgis. Hasil Berdasarkan yang diperoleh bahwa pola curah hujan di Kabupaten Tangerang termasuk tipe munson karena mengalami puncak musim hujan pada bulan Desember-Februari dan musim kemarau pada bulan Juni-Agustus. Adapun hasil musim hujan maksimum yang terjadi pada bulan Februari tahun 2020 di Lokasi wilayah curug sebesar 556 mm/bulan dan pada tahun 2017 di wilayah balaraja sebesar 660 mm/bulan. Sedangkan untuk musim hujan minimum terjadi pada bulan Agustus tahun 2012 dan 2015 di wilayah curug dan balaraja sebesar 0 mm/bulan. Daerah Kabupaten Tangerang memiliki curah hujan klasifikasi menengah dengan intensitas rata-rata sebesar 101-300 mm/bulan. tipe iklim di Kabupaten Tangerang yaitu B dengan Kriteria Basah vegetasi Hutan Hujan Tropika yang memiliki curah hujan tinggi sehingga daerah selalu lembab yang berarti daerah ini dapat ditanami oleh berbagai jenis tumbuhan dan sangat cocok untuk sektor pertanian","author":[{"dropping-particle":"","family":"Ruqoyah","given":"Ratu","non-dropping-particle":"","parse-names":false,"suffix":""},{"dropping-particle":"","family":"Ruhiat","given":"Yayat","non-dropping-particle":"","parse-names":false,"suffix":""},{"dropping-particle":"","family":"Saefullah","given":"Asep","non-dropping-particle":"","parse-names":false,"suffix":""}],"container-title":"Jurnal Teori dan Aplikasi Fisika","id":"ITEM-1","issue":"01","issued":{"date-parts":[["2023"]]},"page":"29-38","title":"Analisis Klasifikasi Tipe Iklim Dari Data Curah Hujan Menggunakan Metode Schmidt-Ferguson (Studi Kasus: Kabupaten Tangerang)","type":"article-journal","volume":"11"},"uris":["http://www.mendeley.com/documents/?uuid=6d86dbf8-43ef-4cd8-a4be-70c2cd6a738f"]}],"mendeley":{"formattedCitation":"(Ruqoyah et al., 2023)","plainTextFormattedCitation":"(Ruqoyah et al., 2023)","previouslyFormattedCitation":"(Ruqoyah et al., 2023)"},"properties":{"noteIndex":0},"schema":"https://github.com/citation-style-language/schema/raw/master/csl-citation.json"}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Ruqoyah et al., 2023)</w:t>
      </w:r>
      <w:r w:rsidRPr="00A259C6">
        <w:rPr>
          <w:rFonts w:ascii="Book Antiqua" w:eastAsia="MS Mincho" w:hAnsi="Book Antiqua"/>
          <w:sz w:val="20"/>
          <w:szCs w:val="20"/>
        </w:rPr>
        <w:fldChar w:fldCharType="end"/>
      </w:r>
      <w:r w:rsidRPr="00A259C6">
        <w:rPr>
          <w:rFonts w:ascii="Book Antiqua" w:eastAsia="MS Mincho" w:hAnsi="Book Antiqua"/>
          <w:sz w:val="20"/>
          <w:szCs w:val="20"/>
        </w:rPr>
        <w:t>.</w:t>
      </w:r>
      <w:r w:rsidR="00BE41F5" w:rsidRPr="00A259C6">
        <w:rPr>
          <w:rFonts w:ascii="Book Antiqua" w:eastAsia="MS Mincho" w:hAnsi="Book Antiqua"/>
          <w:sz w:val="20"/>
          <w:szCs w:val="20"/>
        </w:rPr>
        <w:t xml:space="preserve"> </w:t>
      </w:r>
      <w:r w:rsidRPr="00A259C6">
        <w:rPr>
          <w:rFonts w:ascii="Book Antiqua" w:eastAsia="MS Mincho" w:hAnsi="Book Antiqua"/>
          <w:sz w:val="20"/>
          <w:szCs w:val="20"/>
        </w:rPr>
        <w:t xml:space="preserve">Variability in rainfall patterns directly affects agricultural </w:t>
      </w:r>
      <w:r w:rsidRPr="00A259C6">
        <w:rPr>
          <w:rFonts w:ascii="Book Antiqua" w:eastAsia="MS Mincho" w:hAnsi="Book Antiqua"/>
          <w:sz w:val="20"/>
          <w:szCs w:val="20"/>
        </w:rPr>
        <w:lastRenderedPageBreak/>
        <w:t xml:space="preserve">productivity, water resource sustainability, and vulnerability to disasters </w:t>
      </w:r>
      <w:r w:rsidR="003D2E69"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{"citationItems":[{"id":"ITEM-1","itemData":{"DOI":"10.1007/s43621-025-01392-6","ISBN":"0123456789","ISSN":"26629984","abstract":"In a country like India agricultural production and yield are closely associated with rainfall amounts. In this context, the present paper highlights the rainfall variability and its relation with agricultural production in Bankura district of West Bengal. For the study the present paper used two sets of rainfall data—IMD (India Meteorological Department) and satellite-based gridded CHIRPS (Climate Hazards Group InfraRed Precipitation with Station) data of the Climate Hazard Group from 1981 to 2021 and agricultural data from 1999 to 2018. Non-parametric trend detection techniques are utilized to find out the changing trend of precipitation and SPI (Standardized Precipitation Index), Seasonality Index and Precipitation Ratio are applied to study the changing precipitation trends throughout the study period. Apart from these, the consequence of El Niño on monsoonal rainfall distribution and its onset in the study area has been analysed. The correlation analysis between annual rainfall and rice production revealed a moderate positive relationship (r = 0.40), indicating that variations in rainfall have a noticeable influence on rice yield in the study area. The result shows a clear significant increasing trend of rainfall in the area during the study period. It has been observed that some area like Chatna, Saltora highly depend on rainfall for paddy cultivation. The findings highlight the importance of localized rainfall monitoring for sustainable agricultural planning. This research can support local farmers and policymakers by identifying rainfall-sensitive zones and promoting drought-resilient cropping strategies. Future research may focus on integrating socio-economic and soil-related variables to enhance the understanding of agro-climatic vulnerability in rainfed regions.","author":[{"dropping-particle":"","family":"Chakraborty","given":"Shilpa","non-dropping-particle":"","parse-names":false,"suffix":""},{"dropping-particle":"","family":"Pan","given":"Subrata","non-dropping-particle":"","parse-names":false,"suffix":""},{"dropping-particle":"","family":"Pal","given":"Subodh Chandra","non-dropping-particle":"","parse-names":false,"suffix":""},{"dropping-particle":"","family":"Islam","given":"Abu Reza Md Towfiqul","non-dropping-particle":"","parse-names":false,"suffix":""},{"dropping-particle":"","family":"Alam","given":"Edris","non-dropping-particle":"","parse-names":false,"suffix":""},{"dropping-particle":"","family":"Islam","given":"Md Kamrul","non-dropping-particle":"","parse-names":false,"suffix":""}],"container-title":"Discover Sustainability","id":"ITEM-1","issue":"1","issued":{"date-parts":[["2025"]]},"publisher":"Springer International Publishing","title":"Evaluating the impact of rainfall patterns on sustainable agricultural crop production","type":"article-journal","volume":"6"},"uris":["http://www.mendeley.com/documents/?uuid=0dfac778-05c7-4034-8f30-0c67cdb65fd4"]}],"mendeley":{"formattedCitation":"(Chakraborty et al., 2025)","plainTextFormattedCitation":"(Chakraborty et al., 2025)","previouslyFormattedCitation":"(Chakraborty et al., 2025)"},"properties":{"noteIndex":0},"schema":"https://github.com/citation-style-language/schema/raw/master/csl-citation.json"}</w:instrText>
      </w:r>
      <w:r w:rsidR="003D2E69"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(Chakraborty et al., 2025</w:t>
      </w:r>
      <w:r w:rsidR="003D2E69" w:rsidRPr="00A259C6">
        <w:rPr>
          <w:rFonts w:ascii="Book Antiqua" w:eastAsia="MS Mincho" w:hAnsi="Book Antiqua"/>
          <w:sz w:val="20"/>
          <w:szCs w:val="20"/>
        </w:rPr>
        <w:fldChar w:fldCharType="end"/>
      </w:r>
      <w:r w:rsidR="003D2E69"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{"citationItems":[{"id":"ITEM-1","itemData":{"DOI":"10.1080/23249676.2015.1064038","ISSN":"23249676","abstract":"Spatio-temporal average rainfall erosivity factor map has been generated for India. This study on rainfall erosivity makes use of 101 years monthly rainfall data and 52 spatial points. The results presented here provide the much needed guidance to remove ambiguities regarding the rainfall erosivity factor in the Indian context. This study has a variety of applications in erosion prediction technology, such as Universal Soil Loss Equation or Revised Universal Soil Loss Equation, or in rainfall-data-deficient regions. In-depth observations can develop a deeper understanding of rainfall variation to estimate the erosivity factor. Rainfall erosivity factor map can facilitate agriculturists and soil conservationists to identify rainfall erosivity potential at diverse locations, and thereby apply obligatory safety measures to minimize soil erosion. The rainfall erosivity factor map has been used to provide a more rational value of the average rainfall erosivity factor covering India, in regions where rainfall distribution patterns is of the same order.","author":[{"dropping-particle":"","family":"Tiwari","given":"Harinarayan","non-dropping-particle":"","parse-names":false,"suffix":""},{"dropping-particle":"","family":"Rai","given":"Subash Pd","non-dropping-particle":"","parse-names":false,"suffix":""},{"dropping-particle":"","family":"Kumar","given":"Dheeraj","non-dropping-particle":"","parse-names":false,"suffix":""},{"dropping-particle":"","family":"Sharma","given":"Nayan","non-dropping-particle":"","parse-names":false,"suffix":""}],"container-title":"Journal of Applied Water Engineering and Research","id":"ITEM-1","issue":"2","issued":{"date-parts":[["2016"]]},"page":"83-91","title":"Rainfall erosivity factor for India using modified fourier index","type":"article-journal","volume":"4"},"uris":["http://www.mendeley.com/documents/?uuid=f29c9b63-a180-4ea5-8ec2-47635d1a162d"]}],"mendeley":{"formattedCitation":"(Tiwari et al., 2016)","plainTextFormattedCitation":"(Tiwari et al., 2016)","previouslyFormattedCitation":"(Tiwari et al., 2016)"},"properties":{"noteIndex":0},"schema":"https://github.com/citation-style-language/schema/raw/master/csl-citation.json"}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Tiwari et al., 2016)</w:t>
      </w:r>
      <w:r w:rsidRPr="00A259C6">
        <w:rPr>
          <w:rFonts w:ascii="Book Antiqua" w:eastAsia="MS Mincho" w:hAnsi="Book Antiqua"/>
          <w:sz w:val="20"/>
          <w:szCs w:val="20"/>
        </w:rPr>
        <w:fldChar w:fldCharType="end"/>
      </w:r>
      <w:r w:rsidRPr="00A259C6">
        <w:rPr>
          <w:rFonts w:ascii="Book Antiqua" w:eastAsia="MS Mincho" w:hAnsi="Book Antiqua"/>
          <w:sz w:val="20"/>
          <w:szCs w:val="20"/>
        </w:rPr>
        <w:t>. Specifically, La Niña is not confined to the Pacific, and its duration is not fixed. Climate anomalies such as La Niña have exacerbated rainfall extremes, leading to unpredictable disaster patterns that challenge conventional planning approaches</w:t>
      </w:r>
      <w:r w:rsidR="0088144F" w:rsidRPr="00A259C6">
        <w:rPr>
          <w:rFonts w:ascii="Book Antiqua" w:eastAsia="MS Mincho" w:hAnsi="Book Antiqua"/>
          <w:sz w:val="20"/>
          <w:szCs w:val="20"/>
        </w:rPr>
        <w:t xml:space="preserve"> </w:t>
      </w:r>
      <w:r w:rsidR="0088144F"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{"citationItems":[{"id":"ITEM-1","itemData":{"DOI":"10.26554/sti.2024.9.4.1009-1023","ISSN":"25804391","abstract":"Several studies indicate that Indonesia’s position on the equator, where winds from the northern and southern hemispheres converge, leads to year-round rainfall in Indonesia. Previous studies have also shown the presence of monsoon winds over Indonesia, which causes rain in Indonesia to follow the Asian and Australian monsoon wind patterns. Recently, variations in rainfall patterns and intensity in Indonesia have been highly volatile and difficult to predict. This study uses gridded data analysis of ocean-atmospheric rainfall for 69 years (1948–2016) to detect monsoonal, equatorial, and local signals and relate them to ENSO and IOD events. Rainfall analysis reveals that the first mode accounts for 38.57%, the second 13.92%, and the third 8.93% of the total variance. These results show that these variants are very variable, both in space and time. Monsoonal patterns were detected in the southern region of Indonesia, equatorial patterns in northern Sumatra and western Kalimantan, while local patterns were detected in Maluku and the Maluku Islands. Furthermore, the monsoonal and local rainfall patterns are strongly correlated (&gt; 0.85) with local SST, but the equatorial rainfall pattern is weakly correlated (&lt; 0.5) with local SST. Note that the equatorial pattern is associated with the Inter-Tropical Convergence Zone (ITCZ) phase. The varied vector correlation map illustrates the asymmetric fluctuations in sea surface temperature and the simultaneous existence of winds coming from the west from the Indian Ocean and winds coming from the east from the Pacific Ocean during the period of heavy precipitation.","author":[{"dropping-particle":"","family":"Ariska","given":"Melly","non-dropping-particle":"","parse-names":false,"suffix":""},{"dropping-particle":"","family":"Suhadi","given":"","non-dropping-particle":"","parse-names":false,"suffix":""},{"dropping-particle":"","family":"Supari","given":"","non-dropping-particle":"","parse-names":false,"suffix":""},{"dropping-particle":"","family":"Irfan","given":"Muhammad","non-dropping-particle":"","parse-names":false,"suffix":""},{"dropping-particle":"","family":"Iskandar","given":"Iskhaq","non-dropping-particle":"","parse-names":false,"suffix":""}],"container-title":"Science and Technology Indonesia","id":"ITEM-1","issue":"4","issued":{"date-parts":[["2024"]]},"page":"1009-1023","title":"Detection of Dominant Rainfall Patterns in Indonesian Regions Using Empirical Orthogonal Function (EOF) and Its Relation with ENSO and IOD Events","type":"article-journal","volume":"9"},"uris":["http://www.mendeley.com/documents/?uuid=3cb0219e-08f2-48b1-b6ac-d941acb4bbd7"]}],"mendeley":{"formattedCitation":"(Ariska et al., 2024)","plainTextFormattedCitation":"(Ariska et al., 2024)","previouslyFormattedCitation":"(Ariska et al., 2024)"},"properties":{"noteIndex":0},"schema":"https://github.com/citation-style-language/schema/raw/master/csl-citation.json"}</w:instrText>
      </w:r>
      <w:r w:rsidR="0088144F"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(Ariska et al., 2024</w:t>
      </w:r>
      <w:r w:rsidR="0088144F" w:rsidRPr="00A259C6">
        <w:rPr>
          <w:rFonts w:ascii="Book Antiqua" w:eastAsia="MS Mincho" w:hAnsi="Book Antiqua"/>
          <w:sz w:val="20"/>
          <w:szCs w:val="20"/>
        </w:rPr>
        <w:fldChar w:fldCharType="end"/>
      </w:r>
      <w:r w:rsidR="0088144F" w:rsidRPr="00A259C6">
        <w:rPr>
          <w:rFonts w:ascii="Book Antiqua" w:eastAsia="MS Mincho" w:hAnsi="Book Antiqua"/>
          <w:sz w:val="20"/>
          <w:szCs w:val="20"/>
        </w:rPr>
        <w:t xml:space="preserve">; </w:t>
      </w:r>
      <w:r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{"citationItems":[{"id":"ITEM-1","itemData":{"DOI":"10.37478/optika.v7i1.2738","ISSN":"2715-8063","abstract":"Perubahan iklim merupakan fenomena global yang dampaknya dapat dirasakan secara lokal. Dampak potensial dari adanya perubahan iklim adalah perubahan pola hujan dan peningkatan suhu udara. Salah satu wilayah yang rentan terhadap perubahan iklim adalah kawasan perkotaan, karena aktivitas manusia dan pembangunan menjadi faktor pendorong naiknya emisi gas rumah kaca. Untuk melihat kondisi perubahan iklim di setiap wilayah Indonesia  maka perlu menganalisis parameter curah hujan dan suhu udara. Data yang digunakan yaitu data curah hujan harian dan suhu udara dari tahun 2023 yang diperoleh dari UPT BMKG Kelas I Maros. Analisis data dilakukan dengan menghitung kecenderungan perubahan dari curah hujan dan suhu udara maksimum, serta menghitung frekuensi kejadian curah hujan dengan intensitas sangat lebat (curah hujan &gt; 100 mm/hari). Hasil analisis menunjukkan terjadi peningkatan nilai untuk parameter curah hujan sebanyak 40,54% wilayah Indonesia yang sifatnya normal dan 32,35% dan sisanya sejumlah 27,11% mengalami hujan yang bersifat lebih kering dari pada normalnya, namun terjadi penurunan frekuensi curah hujan lebat. Curah hujan tahunan yang semakin meningkat namun frekuensi kejadian hujan lebat semakin menurun mengindikasikan bahwa kejadian hujan di Indonesia akan lebih sering terjadi namun intensitas lebatnya hanya sedikit. Peningkatan suhu udara maksimum dapat berpotensi terjadinya kekeringan di musim kemarau, dan peningkatan curah hujan dapat menyebabkan banjir di musim penghujan.","author":[{"dropping-particle":"","family":"Suhadi","given":"Suhadi","non-dropping-particle":"","parse-names":false,"suffix":""},{"dropping-particle":"","family":"Mabruroh","given":"Faizatul","non-dropping-particle":"","parse-names":false,"suffix":""},{"dropping-particle":"","family":"Wiyanto","given":"Adis","non-dropping-particle":"","parse-names":false,"suffix":""},{"dropping-particle":"","family":"Ikra","given":"Ikra","non-dropping-particle":"","parse-names":false,"suffix":""}],"container-title":"OPTIKA: Jurnal Pendidikan Fisika","id":"ITEM-1","issue":"1","issued":{"date-parts":[["2023"]]},"page":"94-100","title":"Analisis Fenomena Perubahan Iklim Terhadap Curah Hujan Ekstrim","type":"article-journal","volume":"7"},"uris":["http://www.mendeley.com/documents/?uuid=f41cddcb-2e50-4709-b38d-c5759bc32766"]}],"mendeley":{"formattedCitation":"(Suhadi et al., 2023)","plainTextFormattedCitation":"(Suhadi et al., 2023)","previouslyFormattedCitation":"(Suhadi et al., 2023)"},"properties":{"noteIndex":0},"schema":"https://github.com/citation-style-language/schema/raw/master/csl-citation.json"}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Suhadi et al., 2023)</w:t>
      </w:r>
      <w:r w:rsidRPr="00A259C6">
        <w:rPr>
          <w:rFonts w:ascii="Book Antiqua" w:eastAsia="MS Mincho" w:hAnsi="Book Antiqua"/>
          <w:sz w:val="20"/>
          <w:szCs w:val="20"/>
        </w:rPr>
        <w:fldChar w:fldCharType="end"/>
      </w:r>
      <w:r w:rsidRPr="00A259C6">
        <w:rPr>
          <w:rFonts w:ascii="Book Antiqua" w:eastAsia="MS Mincho" w:hAnsi="Book Antiqua"/>
          <w:sz w:val="20"/>
          <w:szCs w:val="20"/>
        </w:rPr>
        <w:t xml:space="preserve">. Without accurate and spatially explicit climate classifications, regional policies risk being ineffective in addressing location-specific climate hazards. </w:t>
      </w:r>
    </w:p>
    <w:p w14:paraId="05758114" w14:textId="595656C3" w:rsidR="005005C2" w:rsidRPr="00A259C6" w:rsidRDefault="00E77913" w:rsidP="00A259C6">
      <w:pPr>
        <w:ind w:firstLine="426"/>
        <w:jc w:val="both"/>
        <w:rPr>
          <w:rFonts w:ascii="Book Antiqua" w:eastAsia="MS Mincho" w:hAnsi="Book Antiqua"/>
          <w:sz w:val="20"/>
          <w:szCs w:val="20"/>
        </w:rPr>
      </w:pPr>
      <w:r w:rsidRPr="00A259C6">
        <w:rPr>
          <w:rFonts w:ascii="Book Antiqua" w:eastAsia="MS Mincho" w:hAnsi="Book Antiqua"/>
          <w:sz w:val="20"/>
          <w:szCs w:val="20"/>
        </w:rPr>
        <w:t>One of the most widely used approaches for climate classification in Indonesia is the Schmidt–Ferguson method, which uses the Q-index to describe the ratio between dry months and wet months. A dry month is a month with rainfall &lt; 60 mm, a wet month is a month with rainfall 60 mm –100 mm, and wet months are those with rainfall &gt; 100 mm</w:t>
      </w:r>
      <w:r w:rsidR="00326D65" w:rsidRPr="00A259C6">
        <w:rPr>
          <w:rFonts w:ascii="Book Antiqua" w:eastAsia="MS Mincho" w:hAnsi="Book Antiqua"/>
          <w:sz w:val="20"/>
          <w:szCs w:val="20"/>
        </w:rPr>
        <w:t xml:space="preserve"> </w:t>
      </w:r>
      <w:r w:rsidR="00326D65"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{"citationItems":[{"id":"ITEM-1","itemData":{"DOI":"10.24843/ejes.2022.v16.i02.p11","ISSN":"1907-5626","abstract":"Schmidt Ferguson map based on rainfall data is utilized to maximize agricultural potential by knowing the spatial pattern of agro-climatic zones. This study aims to produce Schmidt Ferguson agro-climatic zone by corrected IMERG Satellite rainfall data by station base data in Bali Province. The length of monthly rainfall data from each source is six years (2015 – 2016). Initially, IMERG Final Precipitation data level 3 is validated to 73 rainfall observation stations over Bali. Statistical methods used for this purpose are correlation coefficient (r), Root Mean Square Error (RMSE) and paired t-test. The validation results show a good correlation value of 0.62 – 0.93, RMSE value of 63.33 – 208.86 mm, the results of the paired t-test there are significant. Hereinafter, IMERG data are corrected by simple linear regression equation y = 0.905x + 4.0979 with an R2 value of 0.5878. The Schmidt Ferguson agro-climatic zone mapping from rain observation station data resulted in 5 climate zones, namely climate zone B, C, D, E, and F and from IMERG product data, 4 climate zones, namely climate zone B, C, D, and E.\r Keywords: Observation; IMERG;Data Validation; Schmidt Ferguson Agroclimate Zone","author":[{"dropping-particle":"","family":"Putranto","given":"Wahyu Widodo","non-dropping-particle":"","parse-names":false,"suffix":""},{"dropping-particle":"","family":"Nuarsa","given":"I Wayan","non-dropping-particle":"","parse-names":false,"suffix":""},{"dropping-particle":"","family":"Kartini","given":"Ni Luh","non-dropping-particle":"","parse-names":false,"suffix":""},{"dropping-particle":"","family":"Andi Yuda","given":"I Wayan","non-dropping-particle":"","parse-names":false,"suffix":""},{"dropping-particle":"","family":"Wiratmaja","given":"I Made Dwi","non-dropping-particle":"","parse-names":false,"suffix":""}],"container-title":"ECOTROPHIC : Jurnal Ilmu Lingkungan (Journal of Environmental Science)","id":"ITEM-1","issue":"2","issued":{"date-parts":[["2022"]]},"page":"244","title":"Pemetaan Zona Agroklimat Schmidt Ferguson Menggunakan Data Stasiun Pengamat Hujan Dan Produk Data Satelit Imerg Di Provinsi Bali","type":"article-journal","volume":"16"},"uris":["http://www.mendeley.com/documents/?uuid=6c09257c-7afa-4117-bc8b-c1e170445d53"]}],"mendeley":{"formattedCitation":"(Putranto et al., 2022)","plainTextFormattedCitation":"(Putranto et al., 2022)","previouslyFormattedCitation":"(Putranto et al., 2022)"},"properties":{"noteIndex":0},"schema":"https://github.com/citation-style-language/schema/raw/master/csl-citation.json"}</w:instrText>
      </w:r>
      <w:r w:rsidR="00326D65"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(Putranto et al., 2022</w:t>
      </w:r>
      <w:r w:rsidR="00326D65" w:rsidRPr="00A259C6">
        <w:rPr>
          <w:rFonts w:ascii="Book Antiqua" w:eastAsia="MS Mincho" w:hAnsi="Book Antiqua"/>
          <w:sz w:val="20"/>
          <w:szCs w:val="20"/>
        </w:rPr>
        <w:fldChar w:fldCharType="end"/>
      </w:r>
      <w:r w:rsidR="00F00AE6"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10.2991/absr.k.220305.018","author":[{"dropping-particle":"","family":"Sila","given":"Kirana","non-dropping-particle":"","parse-names":false,"suffix":""},{"dropping-particle":"","family":"Mukti","given":"Trisna","non-dropping-particle":"","parse-names":false,"suffix":""},{"dropping-particle":"","family":"Dwi","given":"Bayu","non-dropping-particle":"","parse-names":false,"suffix":""},{"dropping-particle":"","family":"Nugroho","given":"Apri","non-dropping-particle":"","parse-names":false,"suffix":""},{"dropping-particle":"","family":"Maftukhah","given":"Rizki","non-dropping-particle":"","parse-names":false,"suffix":""}],"id":"ITEM-1","issue":"ICoSIA 2021","issued":{"date-parts":[["2022"]]},"page":"122-129","title":"Classification of Climate and Land Suitability of Rice in East Sumba Regency , East Nusa Tenggara","type":"article-journal","volume":"19"},"uris":["http://www.mendeley.com/documents/?uuid=bd51d57c-90a2-4973-a947-72b2b55592db"]}],"mendeley":{"formattedCitation":"(Sila et al., 2022)","plainTextFormattedCitation":"(Sila et al., 2022)","previouslyFormattedCitation":"(Sila et al., 2022)"},"properties":{"noteIndex":0},"schema":"https://github.com/citation-style-language/schema/raw/master/csl-citation.json"}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Sila et al., 2022</w:t>
      </w:r>
      <w:r w:rsidRPr="00A259C6">
        <w:rPr>
          <w:rFonts w:ascii="Book Antiqua" w:eastAsia="MS Mincho" w:hAnsi="Book Antiqua"/>
          <w:sz w:val="20"/>
          <w:szCs w:val="20"/>
        </w:rPr>
        <w:fldChar w:fldCharType="end"/>
      </w:r>
      <w:r w:rsidR="004C4BBE" w:rsidRPr="00A259C6">
        <w:rPr>
          <w:rFonts w:ascii="Book Antiqua" w:eastAsia="MS Mincho" w:hAnsi="Book Antiqua"/>
          <w:sz w:val="20"/>
          <w:szCs w:val="20"/>
        </w:rPr>
        <w:t xml:space="preserve">; </w:t>
      </w:r>
      <w:r w:rsidR="004C4BBE"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{"citationItems":[{"id":"ITEM-1","itemData":{"DOI":"https://doi.org/10.31764/geography.v11i2.15821.","abstract":"Penelitian ini menggunakan SIG untuk menganalisis pergeseran zona agroklimat berdasarkan Klasifikasi Schmidt-Ferguson di Kabupaten Gorontalo. Klasifikasi iklim Schmidt-Ferguson diestimasi menggunakan data curah hujan bulanan. Untuk setiap stasiun hujan dari tahun 1981 sampai 2020 dihitung jumlah Bulan Basah (BB), Bulan Kering (BK), dan Bulan Lembab (BL) selama 10, 20, dan 40 tahun. Kabupaten Gorontalo terdeteksi memiliki lima tipe iklim, yaitu: B, C, D, E, dan F. Tipe C mendominasi di stasiun pengamatan selama periode pengamatan 10 dan 20 tahun. Ada kecenderungan luas tipe C menurun sedangkan luas tipe D bertambah, dan iklim kering tipe E dan F berpotensi meningkat. Pemetaan zonasi iklim mempengaruhi sosial ekonomi masyarakat dalam perencanaan pertanian, khususnya pengelolaan lahan dan jenis tanaman. Hasil zonasi iklim yang terdeteksi perlu diverifikasi dengan teknologi penginderaan jauh menggunakan data citra satelit. Hal ini diperlukan karena kelemahan mendasar klasifikasi iklim adalah batas tipe iklim tidak sesuai dengan batas lanskap.","author":[{"dropping-particle":"","family":"Moontuno","given":"Vikiy","non-dropping-particle":"","parse-names":false,"suffix":""},{"dropping-particle":"","family":"Maryati","given":"Sri","non-dropping-particle":"","parse-names":false,"suffix":""},{"dropping-particle":"","family":"Koem","given":"Syahrizal","non-dropping-particle":"","parse-names":false,"suffix":""}],"container-title":"Jurnal Kajian, Penelitian dan Pengembangan Pendidikan","id":"ITEM-1","issue":"2","issued":{"date-parts":[["2023"]]},"page":"191-200","title":"Deteksi Perubahan Zona Agroklimat Schmidt-Ferguson","type":"article-journal","volume":"11"},"uris":["http://www.mendeley.com/documents/?uuid=8dc75a76-ea88-4a35-b4a7-79a29df87027"]}],"mendeley":{"formattedCitation":"(V. Moontuno et al., 2023)","plainTextFormattedCitation":"(V. Moontuno et al., 2023)","previouslyFormattedCitation":"(V. Moontuno et al., 2023)"},"properties":{"noteIndex":0},"schema":"https://github.com/citation-style-language/schema/raw/master/csl-citation.json"}</w:instrText>
      </w:r>
      <w:r w:rsidR="004C4BBE"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Moontuno et al., 2023)</w:t>
      </w:r>
      <w:r w:rsidR="004C4BBE" w:rsidRPr="00A259C6">
        <w:rPr>
          <w:rFonts w:ascii="Book Antiqua" w:eastAsia="MS Mincho" w:hAnsi="Book Antiqua"/>
          <w:sz w:val="20"/>
          <w:szCs w:val="20"/>
        </w:rPr>
        <w:fldChar w:fldCharType="end"/>
      </w:r>
      <w:r w:rsidRPr="00A259C6">
        <w:rPr>
          <w:rFonts w:ascii="Book Antiqua" w:eastAsia="MS Mincho" w:hAnsi="Book Antiqua"/>
          <w:sz w:val="20"/>
          <w:szCs w:val="20"/>
        </w:rPr>
        <w:t xml:space="preserve">. This classification does not include temperature as a factor, as it assumes that temperature variations in tropical regions are very small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{"citationItems":[{"id":"ITEM-1","itemData":{"DOI":"10.13189/eer.2022.100613","ISSN":"23316268","abstract":"Climate is the average weather conditions over a relatively long time. Climate change is a problem for living things, such as the agricultural sector. It affects the availability of community food reserves, public health, and socio-economics. The impact of climate change causes dramatic changes in agricultural patterns and shifts in planting time. Water availability for agricultural needs is complicated to predict, so the failure rate of agricultural production is getting bigger. Failure is due to a mismatch between the availability of water and the applied cropping pattern. This study aims to analyze and predict the spatial distribution of the Schmidt-Ferguson climate classification on Lombok Island from 2018-2035. This study generated rainfall data using the Thomas Fiering method from 18 rain stations on Lombok Island for 24 years (1994-2017). Determine the dry, moist, and wet months based on the Schmidt-Ferguson classification. From the analysis results, the most significant Q value is at the Geres Daya, Sapit, and Sopak rain stations with the classification \"Extraordinarily Dry,\" and the smallest Q value is at the Sesaot, Perian, and Dasan Cermen rain stations with the \"Very Wet\" category. The Lombok Island has four dominant climate types based on Schmidt-Ferguson for the years 1994-2017, namely slightly wet (C), moderate (D), slightly dry (E), and dry (F). Meanwhile, for the years 2018-2035, the dominant climates are very wet (A), wet (B), slightly wet (C), and moderate (D). The results obtained can be used for planning in determining cropping patterns based on spatial climatic conditions, and they can be used to mitigate floods and droughts, and regulate water allocation in the irrigation sector. Especially in regional planning, it helps plan drainage systems.","author":[{"dropping-particle":"","family":"Yasa","given":"I. Wayan","non-dropping-particle":"","parse-names":false,"suffix":""},{"dropping-particle":"","family":"Sulistiyono","given":"Heri","non-dropping-particle":"","parse-names":false,"suffix":""},{"dropping-particle":"","family":"Saadi","given":"Yusron","non-dropping-particle":"","parse-names":false,"suffix":""},{"dropping-particle":"","family":"Hartana","given":"","non-dropping-particle":"","parse-names":false,"suffix":""}],"container-title":"Environment and Ecology Research","id":"ITEM-1","issue":"6","issued":{"date-parts":[["2022"]]},"page":"786-796","title":"Spatial Climate Forecasting for Climatology Disaster Mitigation","type":"article-journal","volume":"10"},"uris":["http://www.mendeley.com/documents/?uuid=318a295e-f204-4f60-b239-fac9e1d50c4c"]}],"mendeley":{"formattedCitation":"(Yasa et al., 2022)","plainTextFormattedCitation":"(Yasa et al., 2022)","previouslyFormattedCitation":"(Yasa et al., 2022)"},"properties":{"noteIndex":0},"schema":"https://github.com/citation-style-language/schema/raw/master/csl-citation.json"}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(Yasa et al., 2022)</w:t>
      </w:r>
      <w:r w:rsidRPr="00A259C6">
        <w:rPr>
          <w:rFonts w:ascii="Book Antiqua" w:eastAsia="MS Mincho" w:hAnsi="Book Antiqua"/>
          <w:sz w:val="20"/>
          <w:szCs w:val="20"/>
        </w:rPr>
        <w:fldChar w:fldCharType="end"/>
      </w:r>
      <w:r w:rsidRPr="00A259C6">
        <w:rPr>
          <w:rFonts w:ascii="Book Antiqua" w:eastAsia="MS Mincho" w:hAnsi="Book Antiqua"/>
          <w:sz w:val="20"/>
          <w:szCs w:val="20"/>
        </w:rPr>
        <w:t>. This method is particularly well-suited for determining dry and wet months in tropical climates due to its simplicity, robustness, and strong relevance to rain-fed agricultural systems</w:t>
      </w:r>
      <w:r w:rsidR="001A675E" w:rsidRPr="00A259C6">
        <w:rPr>
          <w:rFonts w:ascii="Book Antiqua" w:eastAsia="MS Mincho" w:hAnsi="Book Antiqua"/>
          <w:sz w:val="20"/>
          <w:szCs w:val="20"/>
        </w:rPr>
        <w:t xml:space="preserve"> </w:t>
      </w:r>
      <w:r w:rsidR="001A675E"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{"citationItems":[{"id":"ITEM-1","itemData":{"DOI":"https://doi.org/10.31764/geography.v11i2.15821.","abstract":"Penelitian ini menggunakan SIG untuk menganalisis pergeseran zona agroklimat berdasarkan Klasifikasi Schmidt-Ferguson di Kabupaten Gorontalo. Klasifikasi iklim Schmidt-Ferguson diestimasi menggunakan data curah hujan bulanan. Untuk setiap stasiun hujan dari tahun 1981 sampai 2020 dihitung jumlah Bulan Basah (BB), Bulan Kering (BK), dan Bulan Lembab (BL) selama 10, 20, dan 40 tahun. Kabupaten Gorontalo terdeteksi memiliki lima tipe iklim, yaitu: B, C, D, E, dan F. Tipe C mendominasi di stasiun pengamatan selama periode pengamatan 10 dan 20 tahun. Ada kecenderungan luas tipe C menurun sedangkan luas tipe D bertambah, dan iklim kering tipe E dan F berpotensi meningkat. Pemetaan zonasi iklim mempengaruhi sosial ekonomi masyarakat dalam perencanaan pertanian, khususnya pengelolaan lahan dan jenis tanaman. Hasil zonasi iklim yang terdeteksi perlu diverifikasi dengan teknologi penginderaan jauh menggunakan data citra satelit. Hal ini diperlukan karena kelemahan mendasar klasifikasi iklim adalah batas tipe iklim tidak sesuai dengan batas lanskap.","author":[{"dropping-particle":"","family":"Moontuno","given":"Vikiy","non-dropping-particle":"","parse-names":false,"suffix":""},{"dropping-particle":"","family":"Maryati","given":"Sri","non-dropping-particle":"","parse-names":false,"suffix":""},{"dropping-particle":"","family":"Koem","given":"Syahrizal","non-dropping-particle":"","parse-names":false,"suffix":""}],"container-title":"Jurnal Kajian, Penelitian dan Pengembangan Pendidikan","id":"ITEM-1","issue":"2","issued":{"date-parts":[["2023"]]},"page":"191-200","title":"Deteksi Perubahan Zona Agroklimat Schmidt-Ferguson","type":"article-journal","volume":"11"},"uris":["http://www.mendeley.com/documents/?uuid=8dc75a76-ea88-4a35-b4a7-79a29df87027"]}],"mendeley":{"formattedCitation":"(V. Moontuno et al., 2023)","plainTextFormattedCitation":"(V. Moontuno et al., 2023)","previouslyFormattedCitation":"(V. Moontuno et al., 2023)"},"properties":{"noteIndex":0},"schema":"https://github.com/citation-style-language/schema/raw/master/csl-citation.json"}</w:instrText>
      </w:r>
      <w:r w:rsidR="001A675E"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(V. Moontuno et al., 2023</w:t>
      </w:r>
      <w:r w:rsidR="001A675E" w:rsidRPr="00A259C6">
        <w:rPr>
          <w:rFonts w:ascii="Book Antiqua" w:eastAsia="MS Mincho" w:hAnsi="Book Antiqua"/>
          <w:sz w:val="20"/>
          <w:szCs w:val="20"/>
        </w:rPr>
        <w:fldChar w:fldCharType="end"/>
      </w:r>
      <w:r w:rsidR="00946D3A">
        <w:rPr>
          <w:rFonts w:ascii="Book Antiqua" w:eastAsia="MS Mincho" w:hAnsi="Book Antiqua"/>
          <w:sz w:val="20"/>
          <w:szCs w:val="20"/>
        </w:rPr>
        <w:t>;</w:t>
      </w:r>
      <w:r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{"citationItems":[{"id":"ITEM-1","itemData":{"DOI":"10.24843/ajoas.2023.v13.i02.p02","ISSN":"2088-155X","abstract":"Mapping of Schmidt-Ferguson Climate Classification and Agroclimate Suitability of Red Chili Plant (Capsicum annuum) in Bali Province. Climate tends to be dynamic and changes continuously, as well as climate elements that continue to change in an area. Along with climate change and increasing rain gauge posts, the possibility of changes in climate types based on the Schmidt-Ferguson classification is inevitable. Thus, it is necessary to map the Schmidt-Ferguson climate classification in Bali Province based on data from 1991-2020 to provide an overview of the latest Schmidt-Ferguson climate classification in Bali Province. One of its uses is for the suitability criteria for agroclimatic zones for red chili (Capsicum annuum) plants. This study uses rainfall data from 1991-2020 from BMKG. This distribution data will be used to determine the Schmidt-Ferguson climate type. These results are related to the land suitability requirements for red chili (Capsicum annuum) land crops. GIS mapping will assist in zoning the Schmidt-Ferguson climate type classification area in Bali Province. The results of this study provide an overview of the latest Schmidt-Ferguson climate classification and agroclimatic suitability for red chili (Capsicum annuum) in Bali. There are significant changes when compared to the Schmidt-Ferguson climate classification for the previous period (1981-2010) with the same location and amount of data. Moreover, red chili (Capsicum annuum) plants are generally able to grow throughout the province of Bali, where the most suitable areas are in the northern coastal area.","author":[{"dropping-particle":"","family":"I Ketut Pratama, Gede Sudika","given":"Indayati Sardiana","non-dropping-particle":"","parse-names":false,"suffix":""}],"container-title":"Agrotrop : Journal on Agriculture Science","id":"ITEM-1","issue":"2","issued":{"date-parts":[["2023"]]},"page":"170","title":"Pemetaan Klasifikasi Iklim Schmidt-Ferguson dan Kesesuaian Agroklimat Tanaman Cabai Merah (Capsicum annuum) di Provinsi Bali","type":"article-journal","volume":"13"},"uris":["http://www.mendeley.com/documents/?uuid=a7779a60-00b3-4f1c-8e37-09b3f403352f"]}],"mendeley":{"formattedCitation":"(I Ketut Pratama, Gede Sudika, 2023)","plainTextFormattedCitation":"(I Ketut Pratama, Gede Sudika, 2023)","previouslyFormattedCitation":"(I Ketut Pratama, Gede Sudika, 2023)"},"properties":{"noteIndex":0},"schema":"https://github.com/citation-style-language/schema/raw/master/csl-citation.json"}</w:instrText>
      </w:r>
      <w:r w:rsidRPr="00A259C6">
        <w:rPr>
          <w:rFonts w:ascii="Book Antiqua" w:eastAsia="MS Mincho" w:hAnsi="Book Antiqua"/>
          <w:sz w:val="20"/>
          <w:szCs w:val="20"/>
        </w:rPr>
        <w:fldChar w:fldCharType="separate"/>
      </w:r>
      <w:r w:rsidR="00946D3A">
        <w:rPr>
          <w:rFonts w:ascii="Book Antiqua" w:eastAsia="MS Mincho" w:hAnsi="Book Antiqua"/>
          <w:sz w:val="20"/>
          <w:szCs w:val="20"/>
        </w:rPr>
        <w:t>Pratama et al.</w:t>
      </w:r>
      <w:r w:rsidR="00D51CF0" w:rsidRPr="00A259C6">
        <w:rPr>
          <w:rFonts w:ascii="Book Antiqua" w:eastAsia="MS Mincho" w:hAnsi="Book Antiqua"/>
          <w:sz w:val="20"/>
          <w:szCs w:val="20"/>
        </w:rPr>
        <w:t>, 2023)</w:t>
      </w:r>
      <w:r w:rsidRPr="00A259C6">
        <w:rPr>
          <w:rFonts w:ascii="Book Antiqua" w:eastAsia="MS Mincho" w:hAnsi="Book Antiqua"/>
          <w:sz w:val="20"/>
          <w:szCs w:val="20"/>
        </w:rPr>
        <w:fldChar w:fldCharType="end"/>
      </w:r>
      <w:r w:rsidRPr="00A259C6">
        <w:rPr>
          <w:rFonts w:ascii="Book Antiqua" w:eastAsia="MS Mincho" w:hAnsi="Book Antiqua"/>
          <w:sz w:val="20"/>
          <w:szCs w:val="20"/>
        </w:rPr>
        <w:t>. Additionally, this method provides a practical framework for identifying seasonal patterns that are essential for regional-scale climate analysis.</w:t>
      </w:r>
    </w:p>
    <w:p w14:paraId="235A013A" w14:textId="4434F6F4" w:rsidR="00E77913" w:rsidRPr="00A259C6" w:rsidRDefault="00E77913" w:rsidP="00A259C6">
      <w:pPr>
        <w:ind w:firstLine="426"/>
        <w:jc w:val="both"/>
        <w:rPr>
          <w:rFonts w:ascii="Book Antiqua" w:eastAsia="MS Mincho" w:hAnsi="Book Antiqua"/>
          <w:sz w:val="20"/>
          <w:szCs w:val="20"/>
        </w:rPr>
      </w:pPr>
      <w:r w:rsidRPr="00A259C6">
        <w:rPr>
          <w:rFonts w:ascii="Book Antiqua" w:eastAsia="MS Mincho" w:hAnsi="Book Antiqua"/>
          <w:sz w:val="20"/>
          <w:szCs w:val="20"/>
        </w:rPr>
        <w:t xml:space="preserve">Gorontalo Province is a region with a complex climate, influenced by diverse topography and strong maritime influences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{"citationItems":[{"id":"ITEM-1","itemData":{"DOI":"10.22146/jcef.3595","ISSN":"2581-1037","abstract":"Several regions across the world are presently experiencing a continuous increase in water scarcity due to the rise in water consumption resulting from population development, agricultural and industrial expansion, climate change, and pollution. Droughts are increasing in recurrence, severity, duration, and spatial extent as a result of climate change. Drought will be one of the most serious threats posed by climate change, often in conjunction with other effects such as rising temperatures and shifting ecosystems. Therefore, this study analyzes the spatial distribution of the Drought Hazard Index (DHI) by integrating AHP-GIS-Remote Sensing in Gorontalo Regency. AHP was used to determine the significance of each map as an input parameter for the DHI, while GIS-Remote Sensing was utilized to supply and analyze all input maps and the study outcome. The DHI assessment consists of four criteria, namely with Normalized Difference Vegetation Index accounting for the highest proportion at 42.9%, followed by Land Surface Temperature (33.6%), Normalized Difference Moisture Index (16.8%), and Topographic Wetness Index (6.7%), with the consistency of the underlying expert opinion measured by the consistency ratio of 0.048. The results indicated that the general hazard of drought in the Gorontalo Regency area was low (43.53%), with 17.87% of the whole area experiencing high hazard. The high class of drought was discovered to be centered in the central region of Gorontalo Regency, which was mostly used for agricultural and economic purposes, thereby enabling policymakers to have evidence to develop management policies suitable for local conditions. Therefore, despite the limits of climatology data, this study established the value of satellite-derived data needed to support policymakers in guiding operational actions to drought hazards reduction.","author":[{"dropping-particle":"","family":"Olii","given":"Muhammad Ramdhan","non-dropping-particle":"","parse-names":false,"suffix":""},{"dropping-particle":"","family":"Aleks Olii","given":"","non-dropping-particle":"","parse-names":false,"suffix":""},{"dropping-particle":"","family":"Ririn Pakaya","given":"","non-dropping-particle":"","parse-names":false,"suffix":""}],"container-title":"Journal of the Civil Engineering Forum","id":"ITEM-1","issue":"January","issued":{"date-parts":[["2021"]]},"page":"81-96","title":"Analysis of Spatial Distribution of the Drought Hazard Index (DHI) by Integration AHP-GIS-Remote Sensing in Gorontalo Regency","type":"article-journal","volume":"8"},"uris":["http://www.mendeley.com/documents/?uuid=76412816-6af3-4165-bebb-1ad385aeabee"]}],"mendeley":{"formattedCitation":"(Olii et al., 2021)","plainTextFormattedCitation":"(Olii et al., 2021)","previouslyFormattedCitation":"(Olii et al., 2021)"},"properties":{"noteIndex":0},"schema":"https://github.com/citation-style-language/schema/raw/master/csl-citation.json"}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(Olii et al., 2021)</w:t>
      </w:r>
      <w:r w:rsidRPr="00A259C6">
        <w:rPr>
          <w:rFonts w:ascii="Book Antiqua" w:eastAsia="MS Mincho" w:hAnsi="Book Antiqua"/>
          <w:sz w:val="20"/>
          <w:szCs w:val="20"/>
        </w:rPr>
        <w:fldChar w:fldCharType="end"/>
      </w:r>
      <w:r w:rsidRPr="00A259C6">
        <w:rPr>
          <w:rFonts w:ascii="Book Antiqua" w:eastAsia="MS Mincho" w:hAnsi="Book Antiqua"/>
          <w:sz w:val="20"/>
          <w:szCs w:val="20"/>
        </w:rPr>
        <w:t xml:space="preserve">. Recent observations indicate increasing climate variability in this region, including irregular flooding events that deviate from historical patterns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{"citationItems":[{"id":"ITEM-1","itemData":{"DOI":"10.29303/jppipa.v11i8.11909","ISSN":"2460-2582","abstract":"The Paguyaman Watershed represents a strategically significant and essential water resource for the surrounding region. In recent years, this area has become increasingly vulnerable to environmental pressures, including heightened sedimentation, changes in land use, declining water quality, and more frequent flooding events. This study aims to evaluate the morphometric characteristics of the Paguyaman Watershed and their relationship to flood vulnerability observed over the past five years. Morphometric analysis was conducted using quantitative methods within GIS and remote sensing approach. The primary dataset utilized was DEMNAS. The analyzed morphometric parameters include drainage density (3.95), stream frequency (8.61), bifurcation ratio (8.41), form factor (0.13), elongation ratio (0.40), and ruggedness number (8.20). These parameter values indicate that the Paguyaman Watershed possesses an elongated concave shape, steep topography, high surface runoff intensity, and low infiltration capacity. The findings reveal that the watershed exhibits characteristics of high flood susceptibility, as evidenced by recurrent flood events in the villages of Totopo, Tolite, and Juria over the last five years. The spatial pattern of flood vulnerability within the watershed is closely linked to morphological features, such as steep slopes, low soil infiltration capacity, and excessive surface flow accumulation—particularly within the Bilato and Boliyohuto sub-districts.Daerah Aliran Sungai (DAS) Paguyaman meupakan sumber daya air yang strategis dan penting bahgi daerah sekitarnya. Namun dalam beberapa tahun terakhir, kawasan ini semakin rentan terhadap tekanan lingkungan, seperti meningkatnya sedimentasi, perubahan tataguna lahan, penurunan kualitas air, serta frekuensi kejadian banjir yang meningkat. Penelitian ini bertujuan untuk mengevaluasi karakteristik morfometri DAS Paguyaman dan hubunganya dengan kerentanan banjir yang terjadi dalam kurun waktu lima tuhn terakhir. Analisis morfometri menggunakan metode kuantitatif dalam pendekatan Sistem informasi Geografis dan data pengindraan jauh. Data utama yang digunakan adalah data Digital Elevation Model Nasional (DEMNAS) oleh Badan Informasi Geospasial (BIG). Parameter morfometri yang dianalisis meliputi kerapatan drainase (3,95), frekuensi aliran (8,61), rasio bifurkasi (8,41), faktor bentuk (0,13), rasio perpanjangan (0,40), dan angka kekasaran (8,20). Nilai-nilai parameter mengindikasikan bahwa DAS Paguyaman bent…","author":[{"dropping-particle":"","family":"Maulana","given":"Karina Meiyanti","non-dropping-particle":"","parse-names":false,"suffix":""},{"dropping-particle":"","family":"S","given":"Ahmad Syamsu Rijal","non-dropping-particle":"","parse-names":false,"suffix":""},{"dropping-particle":"","family":"Dangkua","given":"Talha","non-dropping-particle":"","parse-names":false,"suffix":""},{"dropping-particle":"","family":"Jaya","given":"Risman","non-dropping-particle":"","parse-names":false,"suffix":""},{"dropping-particle":"","family":"Mulabbi","given":"Andrew","non-dropping-particle":"","parse-names":false,"suffix":""}],"container-title":"Jurnal Penelitian Pendidikan IPA","id":"ITEM-1","issue":"8","issued":{"date-parts":[["2025"]]},"page":"476-488","title":"Morphometric Characteristics and Their Relation to Flood Events in Paguyaman Watershed, Gorontalo","type":"article-journal","volume":"11"},"uris":["http://www.mendeley.com/documents/?uuid=7b242924-f541-417f-84e9-e58a075aeff9"]}],"mendeley":{"formattedCitation":"(Maulana et al., 2025)","plainTextFormattedCitation":"(Maulana et al., 2025)","previouslyFormattedCitation":"(Maulana et al., 2025)"},"properties":{"noteIndex":0},"schema":"https://github.com/citation-style-language/schema/raw/master/csl-citation.json"}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(Maulana et al., 2025</w:t>
      </w:r>
      <w:r w:rsidRPr="00A259C6">
        <w:rPr>
          <w:rFonts w:ascii="Book Antiqua" w:eastAsia="MS Mincho" w:hAnsi="Book Antiqua"/>
          <w:sz w:val="20"/>
          <w:szCs w:val="20"/>
        </w:rPr>
        <w:fldChar w:fldCharType="end"/>
      </w:r>
      <w:r w:rsidRPr="00A259C6">
        <w:rPr>
          <w:rFonts w:ascii="Book Antiqua" w:eastAsia="MS Mincho" w:hAnsi="Book Antiqua"/>
          <w:sz w:val="20"/>
          <w:szCs w:val="20"/>
        </w:rPr>
        <w:t xml:space="preserve">; </w:t>
      </w:r>
      <w:r w:rsidRPr="00A259C6">
        <w:rPr>
          <w:rFonts w:ascii="Book Antiqua" w:eastAsia="MS Mincho" w:hAnsi="Book Antiqua"/>
          <w:sz w:val="20"/>
          <w:szCs w:val="20"/>
        </w:rPr>
        <w:fldChar w:fldCharType="begin" w:fldLock="1"/>
      </w:r>
      <w:r w:rsidR="00D51CF0" w:rsidRPr="00A259C6">
        <w:rPr>
          <w:rFonts w:ascii="Book Antiqua" w:eastAsia="MS Mincho" w:hAnsi="Book Antiqua"/>
          <w:sz w:val="20"/>
          <w:szCs w:val="20"/>
        </w:rPr>
        <w:instrText>ADDIN CSL_CITATION {"citationItems":[{"id":"ITEM-1","itemData":{"DOI":"10.29303/jppipa.v11i8.11924","ISSN":"2460-2582","abstract":"This study conducts a comparative morphometric analysis of the Alo and Molamahu sub-watersheds, located in the upstream Limboto Watershed, Gorontalo Province, Indonesia, to assess flood risk. Using the National Digital Elevation Model (DEMNAS) with an 8-m spatial resolution, classical morphometric parameters were derived through remote sensing and Geographic Information System (GIS) techniques. Both sub-watersheds share a maximum stream order of 4 and exhibit relatively high drainage density and stream frequency, indicating rapid surface runoff. However, the Molamahu sub-watershed is larger, steeper, and has a higher ruggedness number than Alo, suggesting greater erosion potential and higher susceptibility to landslides and flash floods. In contrast, Alo shows gentler slopes but remains flood-prone due to short overland flow paths. The analysis demonstrates that morphometric characteristics directly influence flood dynamics, highlighting the need for tailored watershed management. Recommended strategies include erosion control and slope stabilization in Molamahu, and water retention measures in Alo, supported by broader reforestation efforts across the Limboto system.Penelitian ini menyajikan analisis morfometri komparatif dari sub-DAS Alo dan Molamahu, yang terletak di bagian hulu DAS Limboto, Provinsi Gorontalo, Indonesia, untuk mengevaluasi risiko banjir mereka. Analisis ini menggunakan Model Elevasi Digital Nasional (DEMNAS) dengan resolusi spasial 8 meter, menerapkan teknik morfometri klasik berdasarkan kerangka metodologi yang mapan melalui penginderaan jauh dan Sistem Informasi Geografis (SIG). Temuan tersebut mengungkapkan bahwa kedua sub-DAS tersebut berbagi orde aliran tertinggi 4 dan menunjukkan kepadatan drainase dan frekuensi aliran yang tinggi, kondisi yang mempercepat limpasan permukaan. Namun, perbedaan penting telah diidentifikasi. Sub-DAS Molamahu lebih besar, lebih curam, dan dicirikan oleh angka kekasaran yang jauh lebih tinggi daripada Alo, yang menunjukkan potensi erosi yang lebih besar dan kerentanan yang lebih tinggi terhadap tanah longsor dan banjir bandang. Kedua sub-DAS tersebut sensitif secara hidrologis dengan jalur aliran permukaan yang pendek, namun Molamahu menghadirkan risiko banjir gabungan yang lebih tinggi karena kecuraman topografinya. Temuan ini menyoroti perlunya pendekatan pengelolaan daerah aliran sungai yang berbeda, dengan fokus pada pengendalian erosi dan stabilisasi lereng di Molamahu dan strategi retensi air…","author":[{"dropping-particle":"","family":"Indrawan","given":"","non-dropping-particle":"","parse-names":false,"suffix":""},{"dropping-particle":"","family":"Dangkua","given":"Talha","non-dropping-particle":"","parse-names":false,"suffix":""},{"dropping-particle":"","family":"S","given":"Ahmad Syamsurijal","non-dropping-particle":"","parse-names":false,"suffix":""},{"dropping-particle":"","family":"Jaya","given":"Risman","non-dropping-particle":"","parse-names":false,"suffix":""}],"container-title":"Jurnal Penelitian Pendidikan IPA","id":"ITEM-1","issue":"8","issued":{"date-parts":[["2025"]]},"page":"535-545","title":"Comparative Morphometric Analysis for Flood Risk Assessment in Alo and Molamahu Sub-Watersheds, Gorontalo Regency","type":"article-journal","volume":"11"},"uris":["http://www.mendeley.com/documents/?uuid=3ea874e2-02b1-49aa-ab7f-a87ca8f2b639"]}],"mendeley":{"formattedCitation":"(Indrawan et al., 2025)","plainTextFormattedCitation":"(Indrawan et al., 2025)","previouslyFormattedCitation":"(Indrawan et al., 2025)"},"properties":{"noteIndex":0},"schema":"https://github.com/citation-style-language/schema/raw/master/csl-citation.json"}</w:instrText>
      </w:r>
      <w:r w:rsidRPr="00A259C6">
        <w:rPr>
          <w:rFonts w:ascii="Book Antiqua" w:eastAsia="MS Mincho" w:hAnsi="Book Antiqua"/>
          <w:sz w:val="20"/>
          <w:szCs w:val="20"/>
        </w:rPr>
        <w:fldChar w:fldCharType="separate"/>
      </w:r>
      <w:r w:rsidR="00D51CF0" w:rsidRPr="00A259C6">
        <w:rPr>
          <w:rFonts w:ascii="Book Antiqua" w:eastAsia="MS Mincho" w:hAnsi="Book Antiqua"/>
          <w:sz w:val="20"/>
          <w:szCs w:val="20"/>
        </w:rPr>
        <w:t>Indrawan et al., 2025)</w:t>
      </w:r>
      <w:r w:rsidRPr="00A259C6">
        <w:rPr>
          <w:rFonts w:ascii="Book Antiqua" w:eastAsia="MS Mincho" w:hAnsi="Book Antiqua"/>
          <w:sz w:val="20"/>
          <w:szCs w:val="20"/>
        </w:rPr>
        <w:fldChar w:fldCharType="end"/>
      </w:r>
      <w:r w:rsidRPr="00A259C6">
        <w:rPr>
          <w:rFonts w:ascii="Book Antiqua" w:eastAsia="MS Mincho" w:hAnsi="Book Antiqua"/>
          <w:sz w:val="20"/>
          <w:szCs w:val="20"/>
        </w:rPr>
        <w:t>. However, existing studies are generally limited to local analyses and fail to integrate validated data from various stations using a spatial approach, resulting in an incomplete understanding of climate variability at the provincial scale.</w:t>
      </w:r>
    </w:p>
    <w:p w14:paraId="78D15EE8" w14:textId="60B06EE0" w:rsidR="00E77913" w:rsidRPr="00A259C6" w:rsidRDefault="00E77913" w:rsidP="00A259C6">
      <w:pPr>
        <w:ind w:firstLine="426"/>
        <w:jc w:val="both"/>
        <w:rPr>
          <w:rFonts w:ascii="Book Antiqua" w:eastAsia="MS Mincho" w:hAnsi="Book Antiqua"/>
          <w:sz w:val="20"/>
          <w:szCs w:val="20"/>
        </w:rPr>
      </w:pPr>
      <w:r w:rsidRPr="00A259C6">
        <w:rPr>
          <w:rFonts w:ascii="Book Antiqua" w:eastAsia="MS Mincho" w:hAnsi="Book Antiqua"/>
          <w:sz w:val="20"/>
          <w:szCs w:val="20"/>
        </w:rPr>
        <w:t>This study aims to address this gap by presenting a comprehensive and spatially explicit analysis of climate patterns in Gorontalo Province. This study is important because accurate climate classification is essential for optimizing agricultural planning, improve water resource management and identify disaster-prone areas. In regions with high spatial variability, such as Gorontalo, the lack of detailed climate zoning can lead to ineffective mitigation strategies and increased environmental risks.</w:t>
      </w:r>
    </w:p>
    <w:p w14:paraId="4613EC48" w14:textId="44E2A8BB" w:rsidR="00E77913" w:rsidRDefault="00831289" w:rsidP="00A259C6">
      <w:pPr>
        <w:ind w:firstLine="426"/>
        <w:jc w:val="both"/>
        <w:rPr>
          <w:rFonts w:ascii="Book Antiqua" w:eastAsia="Book Antiqua" w:hAnsi="Book Antiqua" w:cs="Book Antiqua"/>
          <w:sz w:val="20"/>
          <w:szCs w:val="20"/>
        </w:rPr>
      </w:pPr>
      <w:r w:rsidRPr="00A259C6">
        <w:rPr>
          <w:rFonts w:ascii="Book Antiqua" w:eastAsia="MS Mincho" w:hAnsi="Book Antiqua"/>
          <w:sz w:val="20"/>
          <w:szCs w:val="20"/>
        </w:rPr>
        <w:t xml:space="preserve">The novelty of this study lies in the integration of (1) multi-station rainfall data with consistency testing, (2) Schmidt–Ferguson climate classification at the provincial scale, and (3) Geographic Information System (GIS)-based spatial interpolation to generate detailed </w:t>
      </w:r>
      <w:r w:rsidRPr="00A259C6">
        <w:rPr>
          <w:rFonts w:ascii="Book Antiqua" w:eastAsia="MS Mincho" w:hAnsi="Book Antiqua"/>
          <w:sz w:val="20"/>
          <w:szCs w:val="20"/>
        </w:rPr>
        <w:t>climate zoning. Unlike previous studies that focus on limited administrative areas, this research provides a more comprehensive and scalable framework for understanding climate variability. This integrated approach not only enhances the scientific robustness of climate classification but also strengthens its practical applicability in regional planning and climate adaptation strategies</w:t>
      </w:r>
      <w:r w:rsidRPr="00831289">
        <w:rPr>
          <w:rFonts w:ascii="Book Antiqua" w:eastAsia="Book Antiqua" w:hAnsi="Book Antiqua" w:cs="Book Antiqua"/>
          <w:sz w:val="20"/>
          <w:szCs w:val="20"/>
        </w:rPr>
        <w:t>.</w:t>
      </w:r>
    </w:p>
    <w:p w14:paraId="2A1DCA71" w14:textId="77777777" w:rsidR="00A259C6" w:rsidRPr="00E77913" w:rsidRDefault="00A259C6" w:rsidP="00A259C6">
      <w:pPr>
        <w:ind w:firstLine="426"/>
        <w:jc w:val="both"/>
        <w:rPr>
          <w:rFonts w:ascii="Book Antiqua" w:eastAsia="Book Antiqua" w:hAnsi="Book Antiqua" w:cs="Book Antiqua"/>
          <w:sz w:val="20"/>
          <w:szCs w:val="20"/>
        </w:rPr>
      </w:pPr>
    </w:p>
    <w:p w14:paraId="58777A6F" w14:textId="77777777" w:rsidR="00314828" w:rsidRPr="003638C8" w:rsidRDefault="00F26A18" w:rsidP="00946D3A">
      <w:pPr>
        <w:rPr>
          <w:rFonts w:ascii="Book Antiqua" w:eastAsia="Book Antiqua" w:hAnsi="Book Antiqua" w:cs="Book Antiqua"/>
          <w:b/>
          <w:sz w:val="22"/>
          <w:szCs w:val="22"/>
        </w:rPr>
      </w:pPr>
      <w:r w:rsidRPr="003638C8">
        <w:rPr>
          <w:rFonts w:ascii="Book Antiqua" w:eastAsia="Book Antiqua" w:hAnsi="Book Antiqua" w:cs="Book Antiqua"/>
          <w:b/>
          <w:sz w:val="22"/>
          <w:szCs w:val="22"/>
        </w:rPr>
        <w:t>Method</w:t>
      </w:r>
    </w:p>
    <w:p w14:paraId="0A403E5D" w14:textId="77777777" w:rsidR="00946D3A" w:rsidRDefault="00946D3A" w:rsidP="00612EBF">
      <w:pPr>
        <w:jc w:val="both"/>
        <w:rPr>
          <w:rFonts w:ascii="Book Antiqua" w:eastAsia="Book Antiqua" w:hAnsi="Book Antiqua" w:cs="Book Antiqua"/>
          <w:i/>
          <w:color w:val="000000" w:themeColor="text1"/>
          <w:sz w:val="20"/>
          <w:szCs w:val="20"/>
        </w:rPr>
      </w:pPr>
    </w:p>
    <w:p w14:paraId="7AA0DE58" w14:textId="2BBD9635" w:rsidR="00612EBF" w:rsidRPr="003638C8" w:rsidRDefault="00314828" w:rsidP="00612EBF">
      <w:pPr>
        <w:jc w:val="both"/>
        <w:rPr>
          <w:rFonts w:ascii="Book Antiqua" w:eastAsia="Book Antiqua" w:hAnsi="Book Antiqua" w:cs="Book Antiqua"/>
          <w:i/>
          <w:color w:val="000000" w:themeColor="text1"/>
          <w:sz w:val="20"/>
          <w:szCs w:val="20"/>
        </w:rPr>
      </w:pPr>
      <w:r w:rsidRPr="003638C8">
        <w:rPr>
          <w:rFonts w:ascii="Book Antiqua" w:eastAsia="Book Antiqua" w:hAnsi="Book Antiqua" w:cs="Book Antiqua"/>
          <w:i/>
          <w:color w:val="000000" w:themeColor="text1"/>
          <w:sz w:val="20"/>
          <w:szCs w:val="20"/>
        </w:rPr>
        <w:t>Area Study</w:t>
      </w:r>
    </w:p>
    <w:p w14:paraId="087ED700" w14:textId="146E9C08" w:rsidR="008003AF" w:rsidRDefault="00314828" w:rsidP="00946D3A">
      <w:pPr>
        <w:ind w:firstLine="426"/>
        <w:jc w:val="both"/>
        <w:rPr>
          <w:rFonts w:ascii="Book Antiqua" w:eastAsia="Book Antiqua" w:hAnsi="Book Antiqua" w:cs="Book Antiqua"/>
          <w:color w:val="000000" w:themeColor="text1"/>
          <w:sz w:val="20"/>
          <w:szCs w:val="20"/>
        </w:rPr>
      </w:pPr>
      <w:r w:rsidRPr="003638C8">
        <w:rPr>
          <w:rFonts w:ascii="Book Antiqua" w:eastAsia="Book Antiqua" w:hAnsi="Book Antiqua" w:cs="Book Antiqua"/>
          <w:sz w:val="20"/>
          <w:szCs w:val="20"/>
        </w:rPr>
        <w:t xml:space="preserve">The study area in this research is Gorontalo Province, which is located in the northern part of Sulawesi Island, Indonesia. Geographically, Gorontalo Province is located between 0°19′ North Latitude and 1°57′ North Latitude and 121°23′ East Longitude and 125°15′ East Longitude. This province is bordered by Central Sulawesi Province to the south, North Sulawesi Province to the east, and </w:t>
      </w:r>
      <w:proofErr w:type="spellStart"/>
      <w:r w:rsidRPr="003638C8">
        <w:rPr>
          <w:rFonts w:ascii="Book Antiqua" w:eastAsia="Book Antiqua" w:hAnsi="Book Antiqua" w:cs="Book Antiqua"/>
          <w:sz w:val="20"/>
          <w:szCs w:val="20"/>
        </w:rPr>
        <w:t>Tomini</w:t>
      </w:r>
      <w:proofErr w:type="spellEnd"/>
      <w:r w:rsidRPr="003638C8">
        <w:rPr>
          <w:rFonts w:ascii="Book Antiqua" w:eastAsia="Book Antiqua" w:hAnsi="Book Antiqua" w:cs="Book Antiqua"/>
          <w:sz w:val="20"/>
          <w:szCs w:val="20"/>
        </w:rPr>
        <w:t xml:space="preserve"> Bay and the Maluku Sea to the west and north. Gorontalo Province has an area of </w:t>
      </w:r>
      <w:r w:rsidRPr="003638C8">
        <w:rPr>
          <w:rFonts w:eastAsia="Book Antiqua"/>
          <w:sz w:val="20"/>
          <w:szCs w:val="20"/>
        </w:rPr>
        <w:t>​​</w:t>
      </w:r>
      <w:r w:rsidRPr="003638C8">
        <w:rPr>
          <w:rFonts w:ascii="Book Antiqua" w:eastAsia="Book Antiqua" w:hAnsi="Book Antiqua" w:cs="Book Antiqua"/>
          <w:sz w:val="20"/>
          <w:szCs w:val="20"/>
        </w:rPr>
        <w:t xml:space="preserve">approximately 12,435 km², which is administratively divided into five regencies and one city, namely Gorontalo Regency, North Gorontalo Regency, Bone </w:t>
      </w:r>
      <w:proofErr w:type="spellStart"/>
      <w:r w:rsidRPr="003638C8">
        <w:rPr>
          <w:rFonts w:ascii="Book Antiqua" w:eastAsia="Book Antiqua" w:hAnsi="Book Antiqua" w:cs="Book Antiqua"/>
          <w:sz w:val="20"/>
          <w:szCs w:val="20"/>
        </w:rPr>
        <w:t>Bolango</w:t>
      </w:r>
      <w:proofErr w:type="spellEnd"/>
      <w:r w:rsidRPr="003638C8">
        <w:rPr>
          <w:rFonts w:ascii="Book Antiqua" w:eastAsia="Book Antiqua" w:hAnsi="Book Antiqua" w:cs="Book Antiqua"/>
          <w:sz w:val="20"/>
          <w:szCs w:val="20"/>
        </w:rPr>
        <w:t xml:space="preserve"> Regency, </w:t>
      </w:r>
      <w:proofErr w:type="spellStart"/>
      <w:r w:rsidRPr="003638C8">
        <w:rPr>
          <w:rFonts w:ascii="Book Antiqua" w:eastAsia="Book Antiqua" w:hAnsi="Book Antiqua" w:cs="Book Antiqua"/>
          <w:sz w:val="20"/>
          <w:szCs w:val="20"/>
        </w:rPr>
        <w:t>Boalemo</w:t>
      </w:r>
      <w:proofErr w:type="spellEnd"/>
      <w:r w:rsidRPr="003638C8">
        <w:rPr>
          <w:rFonts w:ascii="Book Antiqua" w:eastAsia="Book Antiqua" w:hAnsi="Book Antiqua" w:cs="Book Antiqua"/>
          <w:sz w:val="20"/>
          <w:szCs w:val="20"/>
        </w:rPr>
        <w:t xml:space="preserve"> Regency, </w:t>
      </w:r>
      <w:proofErr w:type="spellStart"/>
      <w:r w:rsidRPr="003638C8">
        <w:rPr>
          <w:rFonts w:ascii="Book Antiqua" w:eastAsia="Book Antiqua" w:hAnsi="Book Antiqua" w:cs="Book Antiqua"/>
          <w:sz w:val="20"/>
          <w:szCs w:val="20"/>
        </w:rPr>
        <w:t>Pohuwato</w:t>
      </w:r>
      <w:proofErr w:type="spellEnd"/>
      <w:r w:rsidRPr="003638C8">
        <w:rPr>
          <w:rFonts w:ascii="Book Antiqua" w:eastAsia="Book Antiqua" w:hAnsi="Book Antiqua" w:cs="Book Antiqua"/>
          <w:sz w:val="20"/>
          <w:szCs w:val="20"/>
        </w:rPr>
        <w:t xml:space="preserve"> Regency, and Gorontalo City as the provincial capital</w:t>
      </w:r>
      <w:r w:rsidR="000C5B76">
        <w:rPr>
          <w:rFonts w:ascii="Book Antiqua" w:eastAsia="Book Antiqua" w:hAnsi="Book Antiqua" w:cs="Book Antiqua"/>
          <w:sz w:val="20"/>
          <w:szCs w:val="20"/>
        </w:rPr>
        <w:t xml:space="preserve"> </w:t>
      </w:r>
      <w:r w:rsidR="00C91436" w:rsidRPr="003638C8">
        <w:rPr>
          <w:rFonts w:ascii="Book Antiqua" w:eastAsia="Book Antiqua" w:hAnsi="Book Antiqua" w:cs="Book Antiqua"/>
          <w:color w:val="000000" w:themeColor="text1"/>
          <w:sz w:val="20"/>
          <w:szCs w:val="20"/>
        </w:rPr>
        <w:fldChar w:fldCharType="begin" w:fldLock="1"/>
      </w:r>
      <w:r w:rsidR="00D51CF0">
        <w:rPr>
          <w:rFonts w:ascii="Book Antiqua" w:eastAsia="Book Antiqua" w:hAnsi="Book Antiqua" w:cs="Book Antiqua"/>
          <w:color w:val="000000" w:themeColor="text1"/>
          <w:sz w:val="20"/>
          <w:szCs w:val="20"/>
        </w:rPr>
        <w:instrText>ADDIN CSL_CITATION {"citationItems":[{"id":"ITEM-1","itemData":{"DOI":"10.31764/geography.v11i2.15821","ISSN":"2339-2835","abstract":"Abstrak: Penelitian ini menggunakan SIG untuk menganalisis pergeseran zona agroklimat berdasarkan Klasifikasi Schmidt-Ferguson di Kabupaten Gorontalo. Klasifikasi iklim Schmidt-Ferguson diestimasi menggunakan data curah hujan bulanan. Untuk setiap stasiun hujan dari tahun 1981 sampai 2020 dihitung jumlah Bulan Basah (BB), Bulan Kering (BK), dan Bulan Lembab (BL) selama 10, 20, dan 40 tahun. Kabupaten Gorontalo terdeteksi memiliki lima tipe iklim, yaitu: B, C, D, E, dan F. Tipe C mendominasi di stasiun pengamatan selama periode pengamatan 10 dan 20 tahun. Ada kecenderungan luas tipe C menurun sedangkan luas tipe D bertambah, dan iklim kering tipe E dan F berpotensi meningkat. Pemetaan zonasi iklim mempengaruhi sosial ekonomi masyarakat dalam perencanaan pertanian, khususnya pengelolaan lahan dan jenis tanaman. Hasil zonasi iklim yang terdeteksi perlu diverifikasi dengan teknologi penginderaan jauh menggunakan data citra satelit. Hal ini diperlukan karena kelemahan mendasar klasifikasi iklim adalah batas tipe iklim tidak sesuai dengan batas lanskap. Abstract:  This study uses GIS to analyze shifts in agro-climatic zones based on the Schmidt-Ferguson Classification in Gorontalo District. The Schmidt-Ferguson climate classification is estimated using monthly rainfall data. For each rain station from 1981 to 2020, the number of wet months (BB), dry months (BK), and humid months (BL) is calculated for 10, 20, and 40 years. Gorontalo District was detected to have five climate types, namely: B, C, D, E, and F. Type C dominated at observation stations during the 10 and 20-year observation period. There is a tendency for the area of type C to decrease while the area of type D increases, and the dry climate types E and F have the potential to increase. Climate zoning mapping affects the socio-economic community in agricultural planning, especially land management and plant types. The detected climate zoning results need to be verified with remote sensing technology using satellite imagery data. This is necessary because the fundamental weakness of climate classification is that the climate-type boundaries do not match the landscape boundaries.","author":[{"dropping-particle":"","family":"Moontuno","given":"Viky Vendy","non-dropping-particle":"","parse-names":false,"suffix":""},{"dropping-particle":"","family":"Maryati","given":"Sri","non-dropping-particle":"","parse-names":false,"suffix":""},{"dropping-particle":"","family":"Koem","given":"Syahrizal","non-dropping-particle":"","parse-names":false,"suffix":""}],"container-title":"GEOGRAPHY : Jurnal Kajian, Penelitian dan Pengembangan Pendidikan","id":"ITEM-1","issue":"2","issued":{"date-parts":[["2023"]]},"page":"191","title":"Deteksi Perubahan Zona Agroklimat Schmidt-Ferguson Menggunakan Sistem Informasi Geografis Di Kabupaten Gorontalo","type":"article-journal","volume":"11"},"uris":["http://www.mendeley.com/documents/?uuid=af1f6904-5ea8-4bd4-b87c-8fa1cdf8e8e0"]}],"mendeley":{"formattedCitation":"(V. V. Moontuno et al., 2023)","plainTextFormattedCitation":"(V. V. Moontuno et al., 2023)","previouslyFormattedCitation":"(V. V. Moontuno et al., 2023)"},"properties":{"noteIndex":0},"schema":"https://github.com/citation-style-language/schema/raw/master/csl-citation.json"}</w:instrText>
      </w:r>
      <w:r w:rsidR="00C91436" w:rsidRPr="003638C8">
        <w:rPr>
          <w:rFonts w:ascii="Book Antiqua" w:eastAsia="Book Antiqua" w:hAnsi="Book Antiqua" w:cs="Book Antiqua"/>
          <w:color w:val="000000" w:themeColor="text1"/>
          <w:sz w:val="20"/>
          <w:szCs w:val="20"/>
        </w:rPr>
        <w:fldChar w:fldCharType="separate"/>
      </w:r>
      <w:r w:rsidR="00D51CF0" w:rsidRPr="00D51CF0">
        <w:rPr>
          <w:rFonts w:ascii="Book Antiqua" w:eastAsia="Book Antiqua" w:hAnsi="Book Antiqua" w:cs="Book Antiqua"/>
          <w:noProof/>
          <w:color w:val="000000" w:themeColor="text1"/>
          <w:sz w:val="20"/>
          <w:szCs w:val="20"/>
        </w:rPr>
        <w:t>(V. V. Moontuno et al., 2023)</w:t>
      </w:r>
      <w:r w:rsidR="00C91436" w:rsidRPr="003638C8">
        <w:rPr>
          <w:rFonts w:ascii="Book Antiqua" w:eastAsia="Book Antiqua" w:hAnsi="Book Antiqua" w:cs="Book Antiqua"/>
          <w:color w:val="000000" w:themeColor="text1"/>
          <w:sz w:val="20"/>
          <w:szCs w:val="20"/>
        </w:rPr>
        <w:fldChar w:fldCharType="end"/>
      </w:r>
      <w:r w:rsidR="00C91436" w:rsidRPr="003638C8">
        <w:rPr>
          <w:rFonts w:ascii="Book Antiqua" w:eastAsia="Book Antiqua" w:hAnsi="Book Antiqua" w:cs="Book Antiqua"/>
          <w:color w:val="000000" w:themeColor="text1"/>
          <w:sz w:val="20"/>
          <w:szCs w:val="20"/>
        </w:rPr>
        <w:t>.</w:t>
      </w:r>
    </w:p>
    <w:p w14:paraId="7264AE41" w14:textId="77777777" w:rsidR="00946D3A" w:rsidRDefault="00946D3A" w:rsidP="00946D3A">
      <w:pPr>
        <w:ind w:firstLine="426"/>
        <w:jc w:val="both"/>
        <w:rPr>
          <w:rFonts w:ascii="Book Antiqua" w:eastAsia="Book Antiqua" w:hAnsi="Book Antiqua" w:cs="Book Antiqua"/>
          <w:color w:val="000000" w:themeColor="text1"/>
          <w:sz w:val="20"/>
          <w:szCs w:val="20"/>
        </w:rPr>
      </w:pPr>
    </w:p>
    <w:p w14:paraId="2E30F2B0" w14:textId="26DB07C1" w:rsidR="00946D3A" w:rsidRDefault="00946D3A" w:rsidP="00946D3A">
      <w:pPr>
        <w:jc w:val="both"/>
        <w:rPr>
          <w:rFonts w:ascii="Book Antiqua" w:eastAsia="Book Antiqua" w:hAnsi="Book Antiqua" w:cs="Book Antiqua"/>
          <w:color w:val="000000" w:themeColor="text1"/>
          <w:sz w:val="20"/>
          <w:szCs w:val="20"/>
        </w:rPr>
      </w:pPr>
      <w:r w:rsidRPr="003638C8">
        <w:rPr>
          <w:rFonts w:ascii="Book Antiqua" w:eastAsia="Book Antiqua" w:hAnsi="Book Antiqua" w:cs="Book Antiqua"/>
          <w:noProof/>
          <w:color w:val="000000" w:themeColor="text1"/>
          <w:sz w:val="20"/>
          <w:szCs w:val="20"/>
        </w:rPr>
        <w:drawing>
          <wp:inline distT="0" distB="0" distL="0" distR="0" wp14:anchorId="3BC54B55" wp14:editId="31B1EC68">
            <wp:extent cx="3120767" cy="2476500"/>
            <wp:effectExtent l="0" t="0" r="3810" b="0"/>
            <wp:docPr id="1624990532"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990532" name="Gambar 16249905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8484" cy="2482624"/>
                    </a:xfrm>
                    <a:prstGeom prst="rect">
                      <a:avLst/>
                    </a:prstGeom>
                  </pic:spPr>
                </pic:pic>
              </a:graphicData>
            </a:graphic>
          </wp:inline>
        </w:drawing>
      </w:r>
    </w:p>
    <w:p w14:paraId="39AD2523" w14:textId="6D302943" w:rsidR="00831289" w:rsidRPr="00831289" w:rsidRDefault="00831289" w:rsidP="00946D3A">
      <w:pPr>
        <w:jc w:val="center"/>
        <w:rPr>
          <w:rFonts w:ascii="Book Antiqua" w:eastAsia="Book Antiqua" w:hAnsi="Book Antiqua" w:cs="Book Antiqua"/>
          <w:sz w:val="18"/>
          <w:szCs w:val="18"/>
        </w:rPr>
      </w:pPr>
      <w:r w:rsidRPr="00831289">
        <w:rPr>
          <w:rFonts w:ascii="Book Antiqua" w:eastAsia="Book Antiqua" w:hAnsi="Book Antiqua" w:cs="Book Antiqua"/>
          <w:b/>
          <w:bCs/>
          <w:sz w:val="18"/>
          <w:szCs w:val="18"/>
        </w:rPr>
        <w:t>Figure 1.</w:t>
      </w:r>
      <w:r w:rsidR="00BC59B2">
        <w:rPr>
          <w:rFonts w:ascii="Book Antiqua" w:eastAsia="Book Antiqua" w:hAnsi="Book Antiqua" w:cs="Book Antiqua"/>
          <w:b/>
          <w:bCs/>
          <w:sz w:val="18"/>
          <w:szCs w:val="18"/>
        </w:rPr>
        <w:t xml:space="preserve"> </w:t>
      </w:r>
      <w:proofErr w:type="spellStart"/>
      <w:r w:rsidRPr="00831289">
        <w:rPr>
          <w:rFonts w:ascii="Book Antiqua" w:eastAsia="Book Antiqua" w:hAnsi="Book Antiqua" w:cs="Book Antiqua"/>
          <w:sz w:val="18"/>
          <w:szCs w:val="18"/>
        </w:rPr>
        <w:t>Rainfal</w:t>
      </w:r>
      <w:proofErr w:type="spellEnd"/>
      <w:r w:rsidRPr="00831289">
        <w:rPr>
          <w:rFonts w:ascii="Book Antiqua" w:eastAsia="Book Antiqua" w:hAnsi="Book Antiqua" w:cs="Book Antiqua"/>
          <w:sz w:val="18"/>
          <w:szCs w:val="18"/>
        </w:rPr>
        <w:t xml:space="preserve"> </w:t>
      </w:r>
      <w:r w:rsidR="00946D3A" w:rsidRPr="00831289">
        <w:rPr>
          <w:rFonts w:ascii="Book Antiqua" w:eastAsia="Book Antiqua" w:hAnsi="Book Antiqua" w:cs="Book Antiqua"/>
          <w:sz w:val="18"/>
          <w:szCs w:val="18"/>
        </w:rPr>
        <w:t>distribution post</w:t>
      </w:r>
    </w:p>
    <w:p w14:paraId="12D9C0E8" w14:textId="77777777" w:rsidR="006900CD" w:rsidRDefault="006900CD" w:rsidP="00314828">
      <w:pPr>
        <w:jc w:val="both"/>
        <w:rPr>
          <w:rFonts w:ascii="Book Antiqua" w:eastAsia="Book Antiqua" w:hAnsi="Book Antiqua" w:cs="Book Antiqua"/>
          <w:i/>
          <w:iCs/>
          <w:sz w:val="20"/>
          <w:szCs w:val="20"/>
        </w:rPr>
      </w:pPr>
    </w:p>
    <w:p w14:paraId="050AC663" w14:textId="556B5CF3" w:rsidR="00314828" w:rsidRPr="0080286A" w:rsidRDefault="00314828" w:rsidP="00314828">
      <w:pPr>
        <w:jc w:val="both"/>
        <w:rPr>
          <w:rFonts w:ascii="Book Antiqua" w:eastAsia="Book Antiqua" w:hAnsi="Book Antiqua" w:cs="Book Antiqua"/>
          <w:i/>
          <w:iCs/>
          <w:sz w:val="20"/>
          <w:szCs w:val="20"/>
        </w:rPr>
      </w:pPr>
      <w:r w:rsidRPr="0080286A">
        <w:rPr>
          <w:rFonts w:ascii="Book Antiqua" w:eastAsia="Book Antiqua" w:hAnsi="Book Antiqua" w:cs="Book Antiqua"/>
          <w:i/>
          <w:iCs/>
          <w:sz w:val="20"/>
          <w:szCs w:val="20"/>
        </w:rPr>
        <w:t>Data Management and Analysis</w:t>
      </w:r>
    </w:p>
    <w:p w14:paraId="2F121079" w14:textId="0C113EDF" w:rsidR="0051043B" w:rsidRDefault="00314828" w:rsidP="00946D3A">
      <w:pPr>
        <w:ind w:firstLine="426"/>
        <w:jc w:val="both"/>
        <w:rPr>
          <w:rFonts w:ascii="Book Antiqua" w:eastAsia="Book Antiqua" w:hAnsi="Book Antiqua" w:cs="Book Antiqua"/>
          <w:sz w:val="20"/>
          <w:szCs w:val="20"/>
        </w:rPr>
      </w:pPr>
      <w:r w:rsidRPr="003638C8">
        <w:rPr>
          <w:rFonts w:ascii="Book Antiqua" w:eastAsia="Book Antiqua" w:hAnsi="Book Antiqua" w:cs="Book Antiqua"/>
          <w:sz w:val="20"/>
          <w:szCs w:val="20"/>
        </w:rPr>
        <w:t xml:space="preserve">This study uses a quantitative descriptive research design with a spatial analysis approach. This design was chosen because the study aims to describe and classify climate patterns based on rainfall characteristics without manipulating the variables studied. The quantitative approach is used to process rainfall data in numerical form, while spatial analysis is applied to observe the spatial distribution of climate patterns in Gorontalo </w:t>
      </w:r>
      <w:r w:rsidRPr="003638C8">
        <w:rPr>
          <w:rFonts w:ascii="Book Antiqua" w:eastAsia="Book Antiqua" w:hAnsi="Book Antiqua" w:cs="Book Antiqua"/>
          <w:sz w:val="20"/>
          <w:szCs w:val="20"/>
        </w:rPr>
        <w:lastRenderedPageBreak/>
        <w:t xml:space="preserve">Province. The type of data used in this study is secondary data, in the form of monthly rainfall data for the last 10 years, 2015–2024. The data was obtained from official agencies, namely </w:t>
      </w:r>
      <w:r w:rsidR="006F5C72" w:rsidRPr="003638C8">
        <w:rPr>
          <w:rFonts w:ascii="Book Antiqua" w:eastAsia="Book Antiqua" w:hAnsi="Book Antiqua" w:cs="Book Antiqua"/>
          <w:i/>
          <w:iCs/>
          <w:sz w:val="20"/>
          <w:szCs w:val="20"/>
        </w:rPr>
        <w:t xml:space="preserve">Badan </w:t>
      </w:r>
      <w:proofErr w:type="spellStart"/>
      <w:r w:rsidR="006F5C72" w:rsidRPr="003638C8">
        <w:rPr>
          <w:rFonts w:ascii="Book Antiqua" w:eastAsia="Book Antiqua" w:hAnsi="Book Antiqua" w:cs="Book Antiqua"/>
          <w:i/>
          <w:iCs/>
          <w:sz w:val="20"/>
          <w:szCs w:val="20"/>
        </w:rPr>
        <w:t>Meteorologi</w:t>
      </w:r>
      <w:proofErr w:type="spellEnd"/>
      <w:r w:rsidR="006F5C72" w:rsidRPr="003638C8">
        <w:rPr>
          <w:rFonts w:ascii="Book Antiqua" w:eastAsia="Book Antiqua" w:hAnsi="Book Antiqua" w:cs="Book Antiqua"/>
          <w:i/>
          <w:iCs/>
          <w:sz w:val="20"/>
          <w:szCs w:val="20"/>
        </w:rPr>
        <w:t xml:space="preserve">, </w:t>
      </w:r>
      <w:proofErr w:type="spellStart"/>
      <w:r w:rsidR="006F5C72" w:rsidRPr="003638C8">
        <w:rPr>
          <w:rFonts w:ascii="Book Antiqua" w:eastAsia="Book Antiqua" w:hAnsi="Book Antiqua" w:cs="Book Antiqua"/>
          <w:i/>
          <w:iCs/>
          <w:sz w:val="20"/>
          <w:szCs w:val="20"/>
        </w:rPr>
        <w:t>Klimatologi</w:t>
      </w:r>
      <w:proofErr w:type="spellEnd"/>
      <w:r w:rsidR="006F5C72" w:rsidRPr="003638C8">
        <w:rPr>
          <w:rFonts w:ascii="Book Antiqua" w:eastAsia="Book Antiqua" w:hAnsi="Book Antiqua" w:cs="Book Antiqua"/>
          <w:i/>
          <w:iCs/>
          <w:sz w:val="20"/>
          <w:szCs w:val="20"/>
        </w:rPr>
        <w:t xml:space="preserve">, dan </w:t>
      </w:r>
      <w:proofErr w:type="spellStart"/>
      <w:r w:rsidR="006F5C72" w:rsidRPr="003638C8">
        <w:rPr>
          <w:rFonts w:ascii="Book Antiqua" w:eastAsia="Book Antiqua" w:hAnsi="Book Antiqua" w:cs="Book Antiqua"/>
          <w:i/>
          <w:iCs/>
          <w:sz w:val="20"/>
          <w:szCs w:val="20"/>
        </w:rPr>
        <w:t>Geofisika</w:t>
      </w:r>
      <w:proofErr w:type="spellEnd"/>
      <w:r w:rsidRPr="003638C8">
        <w:rPr>
          <w:rFonts w:ascii="Book Antiqua" w:eastAsia="Book Antiqua" w:hAnsi="Book Antiqua" w:cs="Book Antiqua"/>
          <w:i/>
          <w:iCs/>
          <w:sz w:val="20"/>
          <w:szCs w:val="20"/>
        </w:rPr>
        <w:t xml:space="preserve"> </w:t>
      </w:r>
      <w:r w:rsidRPr="003638C8">
        <w:rPr>
          <w:rFonts w:ascii="Book Antiqua" w:eastAsia="Book Antiqua" w:hAnsi="Book Antiqua" w:cs="Book Antiqua"/>
          <w:sz w:val="20"/>
          <w:szCs w:val="20"/>
        </w:rPr>
        <w:t xml:space="preserve">(BMKG) and the </w:t>
      </w:r>
      <w:r w:rsidR="006F5C72" w:rsidRPr="003638C8">
        <w:rPr>
          <w:rFonts w:ascii="Book Antiqua" w:eastAsia="Book Antiqua" w:hAnsi="Book Antiqua" w:cs="Book Antiqua"/>
          <w:i/>
          <w:iCs/>
          <w:sz w:val="20"/>
          <w:szCs w:val="20"/>
        </w:rPr>
        <w:t>Badan Wilayah Sungai</w:t>
      </w:r>
      <w:r w:rsidRPr="003638C8">
        <w:rPr>
          <w:rFonts w:ascii="Book Antiqua" w:eastAsia="Book Antiqua" w:hAnsi="Book Antiqua" w:cs="Book Antiqua"/>
          <w:sz w:val="20"/>
          <w:szCs w:val="20"/>
        </w:rPr>
        <w:t xml:space="preserve"> (BWS) of </w:t>
      </w:r>
      <w:r w:rsidR="006F5C72" w:rsidRPr="003638C8">
        <w:rPr>
          <w:rFonts w:ascii="Book Antiqua" w:eastAsia="Book Antiqua" w:hAnsi="Book Antiqua" w:cs="Book Antiqua"/>
          <w:sz w:val="20"/>
          <w:szCs w:val="20"/>
        </w:rPr>
        <w:t xml:space="preserve">Sulawesi II, </w:t>
      </w:r>
      <w:r w:rsidRPr="003638C8">
        <w:rPr>
          <w:rFonts w:ascii="Book Antiqua" w:eastAsia="Book Antiqua" w:hAnsi="Book Antiqua" w:cs="Book Antiqua"/>
          <w:sz w:val="20"/>
          <w:szCs w:val="20"/>
        </w:rPr>
        <w:t xml:space="preserve">Gorontalo Province. The data comes from rainfall observation stations spread across the </w:t>
      </w:r>
      <w:proofErr w:type="spellStart"/>
      <w:r w:rsidRPr="003638C8">
        <w:rPr>
          <w:rFonts w:ascii="Book Antiqua" w:eastAsia="Book Antiqua" w:hAnsi="Book Antiqua" w:cs="Book Antiqua"/>
          <w:sz w:val="20"/>
          <w:szCs w:val="20"/>
        </w:rPr>
        <w:t>region.Gorontalo</w:t>
      </w:r>
      <w:proofErr w:type="spellEnd"/>
      <w:r w:rsidRPr="003638C8">
        <w:rPr>
          <w:rFonts w:ascii="Book Antiqua" w:eastAsia="Book Antiqua" w:hAnsi="Book Antiqua" w:cs="Book Antiqua"/>
          <w:sz w:val="20"/>
          <w:szCs w:val="20"/>
        </w:rPr>
        <w:t xml:space="preserve"> Province and is considered representative to describe regional climate conditions.</w:t>
      </w:r>
    </w:p>
    <w:p w14:paraId="42F7A69B" w14:textId="77777777" w:rsidR="00946D3A" w:rsidRDefault="00946D3A" w:rsidP="0096377E">
      <w:pPr>
        <w:jc w:val="both"/>
        <w:rPr>
          <w:rFonts w:ascii="Book Antiqua" w:eastAsia="Book Antiqua" w:hAnsi="Book Antiqua" w:cs="Book Antiqua"/>
          <w:sz w:val="20"/>
          <w:szCs w:val="20"/>
        </w:rPr>
      </w:pPr>
    </w:p>
    <w:p w14:paraId="189B8BBB" w14:textId="224C38DC" w:rsidR="00946D3A" w:rsidRPr="003638C8" w:rsidRDefault="00946D3A" w:rsidP="0096377E">
      <w:pPr>
        <w:jc w:val="both"/>
        <w:rPr>
          <w:rFonts w:ascii="Book Antiqua" w:eastAsia="Book Antiqua" w:hAnsi="Book Antiqua" w:cs="Book Antiqua"/>
          <w:sz w:val="20"/>
          <w:szCs w:val="20"/>
        </w:rPr>
      </w:pPr>
      <w:r w:rsidRPr="003638C8">
        <w:rPr>
          <w:rFonts w:ascii="Book Antiqua" w:eastAsia="Calibri" w:hAnsi="Book Antiqua" w:cs="Arial"/>
          <w:b/>
          <w:bCs/>
          <w:noProof/>
          <w:sz w:val="22"/>
        </w:rPr>
        <w:drawing>
          <wp:inline distT="0" distB="0" distL="0" distR="0" wp14:anchorId="612E250A" wp14:editId="3D4972C7">
            <wp:extent cx="3113931" cy="2343150"/>
            <wp:effectExtent l="0" t="0" r="0" b="0"/>
            <wp:docPr id="1456543728"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43728" name="Gambar 1456543728"/>
                    <pic:cNvPicPr/>
                  </pic:nvPicPr>
                  <pic:blipFill rotWithShape="1">
                    <a:blip r:embed="rId17">
                      <a:extLst>
                        <a:ext uri="{28A0092B-C50C-407E-A947-70E740481C1C}">
                          <a14:useLocalDpi xmlns:a14="http://schemas.microsoft.com/office/drawing/2010/main" val="0"/>
                        </a:ext>
                      </a:extLst>
                    </a:blip>
                    <a:srcRect b="4617"/>
                    <a:stretch/>
                  </pic:blipFill>
                  <pic:spPr bwMode="auto">
                    <a:xfrm>
                      <a:off x="0" y="0"/>
                      <a:ext cx="3132795" cy="2357345"/>
                    </a:xfrm>
                    <a:prstGeom prst="rect">
                      <a:avLst/>
                    </a:prstGeom>
                    <a:ln>
                      <a:noFill/>
                    </a:ln>
                    <a:extLst>
                      <a:ext uri="{53640926-AAD7-44D8-BBD7-CCE9431645EC}">
                        <a14:shadowObscured xmlns:a14="http://schemas.microsoft.com/office/drawing/2010/main"/>
                      </a:ext>
                    </a:extLst>
                  </pic:spPr>
                </pic:pic>
              </a:graphicData>
            </a:graphic>
          </wp:inline>
        </w:drawing>
      </w:r>
    </w:p>
    <w:p w14:paraId="5AD9599B" w14:textId="5DC8C6EB" w:rsidR="00831289" w:rsidRDefault="00831289" w:rsidP="00946D3A">
      <w:pPr>
        <w:jc w:val="center"/>
        <w:rPr>
          <w:rFonts w:ascii="Book Antiqua" w:eastAsia="Book Antiqua" w:hAnsi="Book Antiqua" w:cs="Book Antiqua"/>
          <w:sz w:val="18"/>
          <w:szCs w:val="18"/>
        </w:rPr>
      </w:pPr>
      <w:r w:rsidRPr="00831289">
        <w:rPr>
          <w:rFonts w:ascii="Book Antiqua" w:eastAsia="Book Antiqua" w:hAnsi="Book Antiqua" w:cs="Book Antiqua"/>
          <w:b/>
          <w:bCs/>
          <w:sz w:val="18"/>
          <w:szCs w:val="18"/>
        </w:rPr>
        <w:t xml:space="preserve">Figure </w:t>
      </w:r>
      <w:r w:rsidR="009B059A">
        <w:rPr>
          <w:rFonts w:ascii="Book Antiqua" w:eastAsia="Book Antiqua" w:hAnsi="Book Antiqua" w:cs="Book Antiqua"/>
          <w:b/>
          <w:bCs/>
          <w:sz w:val="18"/>
          <w:szCs w:val="18"/>
        </w:rPr>
        <w:t>2</w:t>
      </w:r>
      <w:r w:rsidRPr="00831289">
        <w:rPr>
          <w:rFonts w:ascii="Book Antiqua" w:eastAsia="Book Antiqua" w:hAnsi="Book Antiqua" w:cs="Book Antiqua"/>
          <w:b/>
          <w:bCs/>
          <w:sz w:val="18"/>
          <w:szCs w:val="18"/>
        </w:rPr>
        <w:t>.</w:t>
      </w:r>
      <w:r w:rsidR="00946D3A">
        <w:rPr>
          <w:rFonts w:ascii="Book Antiqua" w:eastAsia="Book Antiqua" w:hAnsi="Book Antiqua" w:cs="Book Antiqua"/>
          <w:b/>
          <w:bCs/>
          <w:sz w:val="18"/>
          <w:szCs w:val="18"/>
        </w:rPr>
        <w:t xml:space="preserve"> </w:t>
      </w:r>
      <w:r w:rsidRPr="00831289">
        <w:rPr>
          <w:rFonts w:ascii="Book Antiqua" w:eastAsia="Book Antiqua" w:hAnsi="Book Antiqua" w:cs="Book Antiqua"/>
          <w:sz w:val="18"/>
          <w:szCs w:val="18"/>
        </w:rPr>
        <w:t xml:space="preserve">Schidt-Ferguson Curve Diagram </w:t>
      </w:r>
      <w:r w:rsidRPr="00831289">
        <w:rPr>
          <w:rFonts w:ascii="Book Antiqua" w:eastAsia="Book Antiqua" w:hAnsi="Book Antiqua" w:cs="Book Antiqua"/>
          <w:sz w:val="18"/>
          <w:szCs w:val="18"/>
        </w:rPr>
        <w:fldChar w:fldCharType="begin" w:fldLock="1"/>
      </w:r>
      <w:r w:rsidR="00D51CF0">
        <w:rPr>
          <w:rFonts w:ascii="Book Antiqua" w:eastAsia="Book Antiqua" w:hAnsi="Book Antiqua" w:cs="Book Antiqua"/>
          <w:sz w:val="18"/>
          <w:szCs w:val="18"/>
        </w:rPr>
        <w:instrText>ADDIN CSL_CITATION {"citationItems":[{"id":"ITEM-1","itemData":{"author":[{"dropping-particle":"","family":"F.H. Schmidt dan J.H.A Ferguson","given":"","non-dropping-particle":"","parse-names":false,"suffix":""}],"container-title":"Geografi.org","id":"ITEM-1","issued":{"date-parts":[["1951"]]},"title":"Klasifikasi Iklim menurut Schmidt Ferguson","type":"webpage"},"uris":["http://www.mendeley.com/documents/?uuid=1357085c-c9c0-4eff-8823-caf65ba0a30b","http://www.mendeley.com/documents/?uuid=c59865e7-dd23-4a38-a652-ae5290a87867"]}],"mendeley":{"formattedCitation":"(F.H. Schmidt dan J.H.A Ferguson, 1951)","manualFormatting":"(FH Schmidt and JHA Ferguson, 1951)","plainTextFormattedCitation":"(F.H. Schmidt dan J.H.A Ferguson, 1951)","previouslyFormattedCitation":"(F.H. Schmidt dan J.H.A Ferguson, 1951)"},"properties":{"noteIndex":0},"schema":"https://github.com/citation-style-language/schema/raw/master/csl-citation.json"}</w:instrText>
      </w:r>
      <w:r w:rsidRPr="00831289">
        <w:rPr>
          <w:rFonts w:ascii="Book Antiqua" w:eastAsia="Book Antiqua" w:hAnsi="Book Antiqua" w:cs="Book Antiqua"/>
          <w:sz w:val="18"/>
          <w:szCs w:val="18"/>
        </w:rPr>
        <w:fldChar w:fldCharType="separate"/>
      </w:r>
      <w:r w:rsidRPr="00831289">
        <w:rPr>
          <w:rFonts w:ascii="Book Antiqua" w:eastAsia="Book Antiqua" w:hAnsi="Book Antiqua" w:cs="Book Antiqua"/>
          <w:noProof/>
          <w:sz w:val="18"/>
          <w:szCs w:val="18"/>
        </w:rPr>
        <w:t>(FH Schmidt and JHA Ferguson, 1951)</w:t>
      </w:r>
      <w:r w:rsidRPr="00831289">
        <w:rPr>
          <w:rFonts w:ascii="Book Antiqua" w:eastAsia="Book Antiqua" w:hAnsi="Book Antiqua" w:cs="Book Antiqua"/>
          <w:sz w:val="18"/>
          <w:szCs w:val="18"/>
        </w:rPr>
        <w:fldChar w:fldCharType="end"/>
      </w:r>
    </w:p>
    <w:p w14:paraId="6C2EE309" w14:textId="77777777" w:rsidR="00946D3A" w:rsidRPr="00BF772A" w:rsidRDefault="00946D3A" w:rsidP="00946D3A">
      <w:pPr>
        <w:jc w:val="center"/>
        <w:rPr>
          <w:rFonts w:ascii="Book Antiqua" w:eastAsia="Book Antiqua" w:hAnsi="Book Antiqua" w:cs="Book Antiqua"/>
          <w:sz w:val="18"/>
          <w:szCs w:val="18"/>
        </w:rPr>
      </w:pPr>
    </w:p>
    <w:p w14:paraId="138A7720" w14:textId="1552150A" w:rsidR="003D72DD" w:rsidRDefault="00314828" w:rsidP="00946D3A">
      <w:pPr>
        <w:ind w:firstLine="426"/>
        <w:jc w:val="both"/>
        <w:rPr>
          <w:rFonts w:ascii="Book Antiqua" w:eastAsia="Book Antiqua" w:hAnsi="Book Antiqua" w:cs="Book Antiqua"/>
          <w:sz w:val="20"/>
          <w:szCs w:val="20"/>
        </w:rPr>
      </w:pPr>
      <w:r w:rsidRPr="003638C8">
        <w:rPr>
          <w:rFonts w:ascii="Book Antiqua" w:eastAsia="Book Antiqua" w:hAnsi="Book Antiqua" w:cs="Book Antiqua"/>
          <w:sz w:val="20"/>
          <w:szCs w:val="20"/>
        </w:rPr>
        <w:t>The initial stage of the research involved a data consistency test to ensure the reliability and</w:t>
      </w:r>
      <w:r w:rsidR="00AB1E6E">
        <w:rPr>
          <w:rFonts w:ascii="Book Antiqua" w:eastAsia="Book Antiqua" w:hAnsi="Book Antiqua" w:cs="Book Antiqua"/>
          <w:sz w:val="20"/>
          <w:szCs w:val="20"/>
        </w:rPr>
        <w:t xml:space="preserve"> </w:t>
      </w:r>
      <w:r w:rsidRPr="003638C8">
        <w:rPr>
          <w:rFonts w:ascii="Book Antiqua" w:eastAsia="Book Antiqua" w:hAnsi="Book Antiqua" w:cs="Book Antiqua"/>
          <w:sz w:val="20"/>
          <w:szCs w:val="20"/>
        </w:rPr>
        <w:t>homogeneity of the rainfall data used. The consistency test was conducted using the Double Mass Curve method, which compares the cumulative rainfall at the test station with that at the reference station</w:t>
      </w:r>
      <w:r w:rsidR="002A1277">
        <w:rPr>
          <w:rFonts w:ascii="Book Antiqua" w:eastAsia="Book Antiqua" w:hAnsi="Book Antiqua" w:cs="Book Antiqua"/>
          <w:sz w:val="20"/>
          <w:szCs w:val="20"/>
        </w:rPr>
        <w:t xml:space="preserve"> </w:t>
      </w:r>
      <w:r w:rsidR="00E85188" w:rsidRPr="003638C8">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10.33364/konstruksi/v.23-1.1881","author":[{"dropping-particle":"","family":"Ruspa","given":"Rena","non-dropping-particle":"","parse-names":false,"suffix":""},{"dropping-particle":"","family":"Permana","given":"Sulwan","non-dropping-particle":"","parse-names":false,"suffix":""},{"dropping-particle":"","family":"Hantari","given":"Anjas Ninda","non-dropping-particle":"","parse-names":false,"suffix":""}],"id":"ITEM-1","issued":{"date-parts":[["2025"]]},"page":"273-282","title":"Analisis Konsistensi Data Curah Hujan Terhadap Debit Andalan ( Studi Kasus : Bendung Leuwipeundeuy )","type":"article-journal"},"uris":["http://www.mendeley.com/documents/?uuid=4f234d8f-a8eb-43bf-9733-968bc3e17dd6","http://www.mendeley.com/documents/?uuid=0dcc6812-c358-4cd9-8775-83c4c70a3e93"]}],"mendeley":{"formattedCitation":"(Ruspa et al., 2025)","plainTextFormattedCitation":"(Ruspa et al., 2025)","previouslyFormattedCitation":"(Ruspa et al., 2025)"},"properties":{"noteIndex":0},"schema":"https://github.com/citation-style-language/schema/raw/master/csl-citation.json"}</w:instrText>
      </w:r>
      <w:r w:rsidR="00E85188" w:rsidRPr="003638C8">
        <w:rPr>
          <w:rFonts w:ascii="Book Antiqua" w:eastAsia="Book Antiqua" w:hAnsi="Book Antiqua" w:cs="Book Antiqua"/>
          <w:sz w:val="20"/>
          <w:szCs w:val="20"/>
        </w:rPr>
        <w:fldChar w:fldCharType="separate"/>
      </w:r>
      <w:r w:rsidR="00D51CF0" w:rsidRPr="00D51CF0">
        <w:rPr>
          <w:rFonts w:ascii="Book Antiqua" w:eastAsia="Book Antiqua" w:hAnsi="Book Antiqua" w:cs="Book Antiqua"/>
          <w:noProof/>
          <w:sz w:val="20"/>
          <w:szCs w:val="20"/>
        </w:rPr>
        <w:t>(Ruspa et al., 2025</w:t>
      </w:r>
      <w:r w:rsidR="00E85188" w:rsidRPr="003638C8">
        <w:rPr>
          <w:rFonts w:ascii="Book Antiqua" w:eastAsia="Book Antiqua" w:hAnsi="Book Antiqua" w:cs="Book Antiqua"/>
          <w:sz w:val="20"/>
          <w:szCs w:val="20"/>
        </w:rPr>
        <w:fldChar w:fldCharType="end"/>
      </w:r>
      <w:r w:rsidR="00E85188" w:rsidRPr="003638C8">
        <w:rPr>
          <w:rFonts w:ascii="Book Antiqua" w:eastAsia="Book Antiqua" w:hAnsi="Book Antiqua" w:cs="Book Antiqua"/>
          <w:sz w:val="20"/>
          <w:szCs w:val="20"/>
        </w:rPr>
        <w:t>;</w:t>
      </w:r>
      <w:r w:rsidR="004E5171">
        <w:rPr>
          <w:rFonts w:ascii="Book Antiqua" w:eastAsia="Book Antiqua" w:hAnsi="Book Antiqua" w:cs="Book Antiqua"/>
          <w:sz w:val="20"/>
          <w:szCs w:val="20"/>
        </w:rPr>
        <w:t xml:space="preserve"> </w:t>
      </w:r>
      <w:r w:rsidR="00456526">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{"citationItems":[{"id":"ITEM-1","itemData":{"DOI":"10.47884/jweam.v3i2pp31-45","ISSN":"2582-6298","abstract":"This study focuses on revisiting the old technique of testing the consistency of historic precipitation data from the Himalayas of Bhutan through a double mass curve (DMC) and residual curve (RC). The method of least square and regression analysis is employed to supplement by providing a statistical means to quantify and justify the inconsistency in the data. Inconsistency in the dataset may arise due to natural or anthropogenic activities and implies the change of precipitation regime over the region compared to the meteorologically homogeneous region or the change in method to collect data. As the precipitation data is pivotal for an assessment of water resources over the Himalayan catchments, testing the historical dataset for consistency is imperative when the data was collected manually. Precipitation data is limited in the country in both the time and space domain as the installation of dense rain gauge for precipitation measurement is challenging. Moreover, maintaining it would be extremely costly and difficult owing to the tough Himalayas terrain. It is vital to investigate the quality of available limited datasets and recommend the best method for rectifying the inconsistency thus capitalizing on the limited resources before progressing with the assessment. The test results are presented in four categories: Best, Good, Satisfactory and Poor category. It is observed that maximum stations fall in Good (32%) and least in Satisfactory (15%) with a sufficient number in Best (29%). It can be concluded that more of the Class C stations shows discontinuity when compared with class Astations AWS (Automatic Weather Station) stations. Further, it is proven that consistent data are also statistically homogeneous. Furthermore, this research puts forward an innovative approach of grouping stations for consistency tests based on the frequency of rainfall events. The result provides an avenue to apply robust algorithms to estimate the missing data since the stations are categorically tagged with their quality.","author":[{"dropping-particle":"","family":"Adhikari","given":"Kirtan","non-dropping-particle":"","parse-names":false,"suffix":""},{"dropping-particle":"","family":"Chhetri","given":"Kiran","non-dropping-particle":"","parse-names":false,"suffix":""},{"dropping-particle":"","family":"Basnet","given":"Eshan","non-dropping-particle":"","parse-names":false,"suffix":""},{"dropping-particle":"","family":"Chozom","given":"Karma","non-dropping-particle":"","parse-names":false,"suffix":""},{"dropping-particle":"","family":"Sharma","given":"Kabita","non-dropping-particle":"","parse-names":false,"suffix":""},{"dropping-particle":"","family":"Giri","given":"Aman","non-dropping-particle":"","parse-names":false,"suffix":""},{"dropping-particle":"","family":"Bumpa","given":"Leki","non-dropping-particle":"","parse-names":false,"suffix":""},{"dropping-particle":"","family":"Sharma","given":"Vasker","non-dropping-particle":"","parse-names":false,"suffix":""}],"container-title":"Journal of Water Engineering and Management","id":"ITEM-1","issue":"2","issued":{"date-parts":[["2022","9","30"]]},"page":"31-45","title":"Identification of Inconsistencies in Historic Rainfall Records of the Himalayas of Bhutan","type":"article-journal","volume":"3"},"uris":["http://www.mendeley.com/documents/?uuid=e4ff9d7b-0e3e-4cc8-914b-9bc377605dd9"]}],"mendeley":{"formattedCitation":"(Adhikari et al., 2022)","plainTextFormattedCitation":"(Adhikari et al., 2022)","previouslyFormattedCitation":"(Adhikari et al., 2022)"},"properties":{"noteIndex":0},"schema":"https://github.com/citation-style-language/schema/raw/master/csl-citation.json"}</w:instrText>
      </w:r>
      <w:r w:rsidR="00456526">
        <w:rPr>
          <w:rFonts w:ascii="Book Antiqua" w:eastAsia="Book Antiqua" w:hAnsi="Book Antiqua" w:cs="Book Antiqua"/>
          <w:sz w:val="20"/>
          <w:szCs w:val="20"/>
        </w:rPr>
        <w:fldChar w:fldCharType="separate"/>
      </w:r>
      <w:r w:rsidR="00D51CF0" w:rsidRPr="00D51CF0">
        <w:rPr>
          <w:rFonts w:ascii="Book Antiqua" w:eastAsia="Book Antiqua" w:hAnsi="Book Antiqua" w:cs="Book Antiqua"/>
          <w:noProof/>
          <w:sz w:val="20"/>
          <w:szCs w:val="20"/>
        </w:rPr>
        <w:t>Adhikari et al., 2022)</w:t>
      </w:r>
      <w:r w:rsidR="00456526">
        <w:rPr>
          <w:rFonts w:ascii="Book Antiqua" w:eastAsia="Book Antiqua" w:hAnsi="Book Antiqua" w:cs="Book Antiqua"/>
          <w:sz w:val="20"/>
          <w:szCs w:val="20"/>
        </w:rPr>
        <w:fldChar w:fldCharType="end"/>
      </w:r>
      <w:r w:rsidRPr="003638C8">
        <w:rPr>
          <w:rFonts w:ascii="Book Antiqua" w:eastAsia="Book Antiqua" w:hAnsi="Book Antiqua" w:cs="Book Antiqua"/>
          <w:sz w:val="20"/>
          <w:szCs w:val="20"/>
        </w:rPr>
        <w:t>. Data is declared consistent if the relationship graph shows a linear pattern without significant changes in slope, so it is suitable for use for further analysis</w:t>
      </w:r>
      <w:r w:rsidR="000B2C82">
        <w:rPr>
          <w:rFonts w:ascii="Book Antiqua" w:eastAsia="Book Antiqua" w:hAnsi="Book Antiqua" w:cs="Book Antiqua"/>
          <w:sz w:val="20"/>
          <w:szCs w:val="20"/>
        </w:rPr>
        <w:t xml:space="preserve"> </w:t>
      </w:r>
      <w:r w:rsidR="004C5735" w:rsidRPr="003638C8">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{"citationItems":[{"id":"ITEM-1","itemData":{"DOI":"https://doi.org/10.11113/aej.V12.16974","author":[{"dropping-particle":"","family":"Yogafanny, Ekha","given":"DJoko Legono","non-dropping-particle":"","parse-names":false,"suffix":""}],"id":"ITEM-1","issued":{"date-parts":[["2022"]]},"page":"69-74","title":"A Comparative Study Of Missing Rainfall Data Analysis Using The Methods Of Inversed Square Distance And Arithmetic Mean","type":"article-journal","volume":"2"},"uris":["http://www.mendeley.com/documents/?uuid=077adc7e-b310-4b6d-8b99-20cbb2913611","http://www.mendeley.com/documents/?uuid=a96c45a9-8b30-4e67-945d-4369832d7081"]}],"mendeley":{"formattedCitation":"(Yogafanny, Ekha, 2022)","plainTextFormattedCitation":"(Yogafanny, Ekha, 2022)","previouslyFormattedCitation":"(Yogafanny, Ekha, 2022)"},"properties":{"noteIndex":0},"schema":"https://github.com/citation-style-language/schema/raw/master/csl-citation.json"}</w:instrText>
      </w:r>
      <w:r w:rsidR="004C5735" w:rsidRPr="003638C8">
        <w:rPr>
          <w:rFonts w:ascii="Book Antiqua" w:eastAsia="Book Antiqua" w:hAnsi="Book Antiqua" w:cs="Book Antiqua"/>
          <w:sz w:val="20"/>
          <w:szCs w:val="20"/>
        </w:rPr>
        <w:fldChar w:fldCharType="separate"/>
      </w:r>
      <w:r w:rsidR="00946D3A">
        <w:rPr>
          <w:rFonts w:ascii="Book Antiqua" w:eastAsia="Book Antiqua" w:hAnsi="Book Antiqua" w:cs="Book Antiqua"/>
          <w:noProof/>
          <w:sz w:val="20"/>
          <w:szCs w:val="20"/>
        </w:rPr>
        <w:t>(Yogafanny et al.</w:t>
      </w:r>
      <w:r w:rsidR="00D51CF0" w:rsidRPr="00D51CF0">
        <w:rPr>
          <w:rFonts w:ascii="Book Antiqua" w:eastAsia="Book Antiqua" w:hAnsi="Book Antiqua" w:cs="Book Antiqua"/>
          <w:noProof/>
          <w:sz w:val="20"/>
          <w:szCs w:val="20"/>
        </w:rPr>
        <w:t>, 2022)</w:t>
      </w:r>
      <w:r w:rsidR="004C5735" w:rsidRPr="003638C8">
        <w:rPr>
          <w:rFonts w:ascii="Book Antiqua" w:eastAsia="Book Antiqua" w:hAnsi="Book Antiqua" w:cs="Book Antiqua"/>
          <w:sz w:val="20"/>
          <w:szCs w:val="20"/>
        </w:rPr>
        <w:fldChar w:fldCharType="end"/>
      </w:r>
      <w:r w:rsidRPr="003638C8">
        <w:rPr>
          <w:rFonts w:ascii="Book Antiqua" w:eastAsia="Book Antiqua" w:hAnsi="Book Antiqua" w:cs="Book Antiqua"/>
          <w:sz w:val="20"/>
          <w:szCs w:val="20"/>
        </w:rPr>
        <w:t>. After the data was declared consistent, a Schmidt–Ferguson climate classification analysis was performed</w:t>
      </w:r>
      <w:r w:rsidR="003D72DD">
        <w:rPr>
          <w:rFonts w:ascii="Book Antiqua" w:eastAsia="Book Antiqua" w:hAnsi="Book Antiqua" w:cs="Book Antiqua"/>
          <w:sz w:val="20"/>
          <w:szCs w:val="20"/>
        </w:rPr>
        <w:t>.</w:t>
      </w:r>
    </w:p>
    <w:p w14:paraId="08FDEA24" w14:textId="77777777" w:rsidR="00946D3A" w:rsidRDefault="00946D3A" w:rsidP="00946D3A">
      <w:pPr>
        <w:ind w:firstLine="426"/>
        <w:jc w:val="both"/>
        <w:rPr>
          <w:rFonts w:ascii="Book Antiqua" w:eastAsia="Book Antiqua" w:hAnsi="Book Antiqua" w:cs="Book Antiqua"/>
          <w:sz w:val="20"/>
          <w:szCs w:val="20"/>
        </w:rPr>
      </w:pPr>
    </w:p>
    <w:p w14:paraId="630EBE15" w14:textId="6D7142BE" w:rsidR="00D63F5E" w:rsidRPr="00862EE9" w:rsidRDefault="003D72DD" w:rsidP="00862EE9">
      <w:pPr>
        <w:jc w:val="both"/>
        <w:rPr>
          <w:rFonts w:ascii="Book Antiqua" w:eastAsia="Book Antiqua" w:hAnsi="Book Antiqua" w:cs="Book Antiqua"/>
          <w:bCs/>
          <w:color w:val="000000" w:themeColor="text1"/>
          <w:sz w:val="20"/>
          <w:szCs w:val="18"/>
        </w:rPr>
      </w:pPr>
      <w:r w:rsidRPr="00862EE9">
        <w:rPr>
          <w:rFonts w:ascii="Book Antiqua" w:eastAsia="Book Antiqua" w:hAnsi="Book Antiqua" w:cs="Book Antiqua"/>
          <w:b/>
          <w:color w:val="000000" w:themeColor="text1"/>
          <w:sz w:val="20"/>
          <w:szCs w:val="18"/>
        </w:rPr>
        <w:t>Table 1.</w:t>
      </w:r>
      <w:r w:rsidRPr="00862EE9">
        <w:rPr>
          <w:rFonts w:ascii="Book Antiqua" w:eastAsia="Book Antiqua" w:hAnsi="Book Antiqua" w:cs="Book Antiqua"/>
          <w:bCs/>
          <w:color w:val="000000" w:themeColor="text1"/>
          <w:sz w:val="20"/>
          <w:szCs w:val="18"/>
        </w:rPr>
        <w:t xml:space="preserve"> Schmidt-Ferguson Climate Type Categories </w:t>
      </w:r>
      <w:r w:rsidRPr="00862EE9">
        <w:rPr>
          <w:rFonts w:ascii="Book Antiqua" w:eastAsia="Book Antiqua" w:hAnsi="Book Antiqua" w:cs="Book Antiqua"/>
          <w:bCs/>
          <w:color w:val="000000" w:themeColor="text1"/>
          <w:sz w:val="20"/>
          <w:szCs w:val="18"/>
        </w:rPr>
        <w:fldChar w:fldCharType="begin" w:fldLock="1"/>
      </w:r>
      <w:r w:rsidR="00D51CF0" w:rsidRPr="00862EE9">
        <w:rPr>
          <w:rFonts w:ascii="Book Antiqua" w:eastAsia="Book Antiqua" w:hAnsi="Book Antiqua" w:cs="Book Antiqua"/>
          <w:bCs/>
          <w:color w:val="000000" w:themeColor="text1"/>
          <w:sz w:val="20"/>
          <w:szCs w:val="18"/>
        </w:rPr>
        <w:instrText>ADDIN CSL_CITATION {"citationItems":[{"id":"ITEM-1","itemData":{"DOI":"10.59841/saber.v3i1.2205","abstract":"Sehubungan dengan adanya berbagai masalah akibat curah hujan, penelitian ini fokus pada permasalahan yang timbul. Saat curah hujan tinggi atau musim basah, beberapa wilayah mengalami banjir; sebaliknya, pada curah hujan rendah, terdapat risiko kekeringan. Tujuan penelitian ini adalah mengklasifikasikan tipe iklim di Kabupaten Padang Pariaman selama 12 tahun. Metode Schmidt-Ferguson digunakan dengan membandingkan rata-rata bulan kering dan rata-rata bulan pada setiap tahun penelitian. Hasilnya menunjukkan dominasi tipe iklim C di Kabupaten Padang Pariaman, yang cenderung agak basah dan memiliki vegetasi hutan rimba.","author":[{"dropping-particle":"","family":"Ferguson","given":"","non-dropping-particle":"","parse-names":false,"suffix":""},{"dropping-particle":"","family":"Padang","given":"Kabupaten","non-dropping-particle":"","parse-names":false,"suffix":""}],"id":"ITEM-1","issued":{"date-parts":[["2023"]]},"page":"290-295","title":"Analisis Klasifikasi Tipe Iklim Dari Data Curah Hujan Menggunakan Metode Schmidt-Ferguson Di Kabupaten Padang Pariaman","type":"article-journal"},"uris":["http://www.mendeley.com/documents/?uuid=129a6160-3dda-491f-92ca-46bdd218d148"]}],"mendeley":{"formattedCitation":"(Ferguson &amp; Padang, 2023)","plainTextFormattedCitation":"(Ferguson &amp; Padang, 2023)","previouslyFormattedCitation":"(Ferguson &amp; Padang, 2023)"},"properties":{"noteIndex":0},"schema":"https://github.com/citation-style-language/schema/raw/master/csl-citation.json"}</w:instrText>
      </w:r>
      <w:r w:rsidRPr="00862EE9">
        <w:rPr>
          <w:rFonts w:ascii="Book Antiqua" w:eastAsia="Book Antiqua" w:hAnsi="Book Antiqua" w:cs="Book Antiqua"/>
          <w:bCs/>
          <w:color w:val="000000" w:themeColor="text1"/>
          <w:sz w:val="20"/>
          <w:szCs w:val="18"/>
        </w:rPr>
        <w:fldChar w:fldCharType="separate"/>
      </w:r>
      <w:r w:rsidR="00D51CF0" w:rsidRPr="00862EE9">
        <w:rPr>
          <w:rFonts w:ascii="Book Antiqua" w:eastAsia="Book Antiqua" w:hAnsi="Book Antiqua" w:cs="Book Antiqua"/>
          <w:bCs/>
          <w:noProof/>
          <w:color w:val="000000" w:themeColor="text1"/>
          <w:sz w:val="20"/>
          <w:szCs w:val="18"/>
        </w:rPr>
        <w:t>(Ferguson &amp; Padang, 2023)</w:t>
      </w:r>
      <w:r w:rsidRPr="00862EE9">
        <w:rPr>
          <w:rFonts w:ascii="Book Antiqua" w:eastAsia="Book Antiqua" w:hAnsi="Book Antiqua" w:cs="Book Antiqua"/>
          <w:bCs/>
          <w:color w:val="000000" w:themeColor="text1"/>
          <w:sz w:val="20"/>
          <w:szCs w:val="18"/>
        </w:rPr>
        <w:fldChar w:fldCharType="end"/>
      </w:r>
    </w:p>
    <w:tbl>
      <w:tblPr>
        <w:tblStyle w:val="PlainTable2"/>
        <w:tblW w:w="5239" w:type="pct"/>
        <w:tblLook w:val="0620" w:firstRow="1" w:lastRow="0" w:firstColumn="0" w:lastColumn="0" w:noHBand="1" w:noVBand="1"/>
      </w:tblPr>
      <w:tblGrid>
        <w:gridCol w:w="1418"/>
        <w:gridCol w:w="1535"/>
        <w:gridCol w:w="2009"/>
      </w:tblGrid>
      <w:tr w:rsidR="000C3C79" w:rsidRPr="003D72DD" w14:paraId="304ADE7F" w14:textId="77777777" w:rsidTr="00862EE9">
        <w:trPr>
          <w:cnfStyle w:val="100000000000" w:firstRow="1" w:lastRow="0" w:firstColumn="0" w:lastColumn="0" w:oddVBand="0" w:evenVBand="0" w:oddHBand="0" w:evenHBand="0" w:firstRowFirstColumn="0" w:firstRowLastColumn="0" w:lastRowFirstColumn="0" w:lastRowLastColumn="0"/>
          <w:trHeight w:val="20"/>
        </w:trPr>
        <w:tc>
          <w:tcPr>
            <w:tcW w:w="1429" w:type="pct"/>
            <w:vAlign w:val="center"/>
          </w:tcPr>
          <w:p w14:paraId="18D32813" w14:textId="77777777" w:rsidR="000C3C79" w:rsidRPr="003D72DD" w:rsidRDefault="000C3C79" w:rsidP="00862EE9">
            <w:pPr>
              <w:ind w:left="-108"/>
              <w:rPr>
                <w:rFonts w:ascii="Book Antiqua" w:hAnsi="Book Antiqua" w:cs="Times New Roman"/>
                <w:b w:val="0"/>
                <w:bCs w:val="0"/>
                <w:color w:val="000000" w:themeColor="text1"/>
                <w:sz w:val="18"/>
                <w:szCs w:val="18"/>
              </w:rPr>
            </w:pPr>
            <w:r w:rsidRPr="003D72DD">
              <w:rPr>
                <w:rFonts w:ascii="Book Antiqua" w:hAnsi="Book Antiqua" w:cs="Times New Roman"/>
                <w:b w:val="0"/>
                <w:bCs w:val="0"/>
                <w:color w:val="000000" w:themeColor="text1"/>
                <w:sz w:val="18"/>
                <w:szCs w:val="18"/>
              </w:rPr>
              <w:t>Climate Type</w:t>
            </w:r>
          </w:p>
        </w:tc>
        <w:tc>
          <w:tcPr>
            <w:tcW w:w="1547" w:type="pct"/>
            <w:vAlign w:val="center"/>
          </w:tcPr>
          <w:p w14:paraId="77B50D42" w14:textId="77777777" w:rsidR="000C3C79" w:rsidRPr="00862EE9" w:rsidRDefault="000C3C79" w:rsidP="00862EE9">
            <w:pPr>
              <w:pStyle w:val="Body"/>
              <w:ind w:left="-140" w:right="-102"/>
              <w:jc w:val="right"/>
              <w:rPr>
                <w:rFonts w:ascii="Book Antiqua" w:hAnsi="Book Antiqua" w:cs="Book Antiqua"/>
                <w:b w:val="0"/>
                <w:sz w:val="18"/>
                <w:szCs w:val="18"/>
              </w:rPr>
            </w:pPr>
            <w:r w:rsidRPr="00862EE9">
              <w:rPr>
                <w:rFonts w:ascii="Book Antiqua" w:hAnsi="Book Antiqua" w:cs="Book Antiqua"/>
                <w:b w:val="0"/>
                <w:sz w:val="18"/>
                <w:szCs w:val="18"/>
              </w:rPr>
              <w:t>Q value</w:t>
            </w:r>
          </w:p>
        </w:tc>
        <w:tc>
          <w:tcPr>
            <w:tcW w:w="2024" w:type="pct"/>
            <w:vAlign w:val="center"/>
          </w:tcPr>
          <w:p w14:paraId="77CA8B31" w14:textId="77777777" w:rsidR="000C3C79" w:rsidRPr="00862EE9" w:rsidRDefault="000C3C79" w:rsidP="00862EE9">
            <w:pPr>
              <w:pStyle w:val="Body"/>
              <w:ind w:left="-140" w:right="-102"/>
              <w:jc w:val="right"/>
              <w:rPr>
                <w:rFonts w:ascii="Book Antiqua" w:hAnsi="Book Antiqua" w:cs="Book Antiqua"/>
                <w:b w:val="0"/>
                <w:sz w:val="18"/>
                <w:szCs w:val="18"/>
              </w:rPr>
            </w:pPr>
            <w:r w:rsidRPr="00862EE9">
              <w:rPr>
                <w:rFonts w:ascii="Book Antiqua" w:hAnsi="Book Antiqua" w:cs="Book Antiqua"/>
                <w:b w:val="0"/>
                <w:sz w:val="18"/>
                <w:szCs w:val="18"/>
              </w:rPr>
              <w:t>Criteria</w:t>
            </w:r>
          </w:p>
        </w:tc>
      </w:tr>
      <w:tr w:rsidR="000C3C79" w:rsidRPr="003D72DD" w14:paraId="3CAFAE9E" w14:textId="77777777" w:rsidTr="00862EE9">
        <w:trPr>
          <w:trHeight w:val="20"/>
        </w:trPr>
        <w:tc>
          <w:tcPr>
            <w:tcW w:w="1429" w:type="pct"/>
            <w:vAlign w:val="center"/>
          </w:tcPr>
          <w:p w14:paraId="4346862D"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A</w:t>
            </w:r>
          </w:p>
        </w:tc>
        <w:tc>
          <w:tcPr>
            <w:tcW w:w="1547" w:type="pct"/>
            <w:vAlign w:val="center"/>
          </w:tcPr>
          <w:p w14:paraId="0396569A"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0 &lt; Q &lt; 0.143</w:t>
            </w:r>
          </w:p>
        </w:tc>
        <w:tc>
          <w:tcPr>
            <w:tcW w:w="2024" w:type="pct"/>
            <w:vAlign w:val="center"/>
          </w:tcPr>
          <w:p w14:paraId="3984F4CA"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Very Wet</w:t>
            </w:r>
          </w:p>
        </w:tc>
      </w:tr>
      <w:tr w:rsidR="000C3C79" w:rsidRPr="003D72DD" w14:paraId="203744C3" w14:textId="77777777" w:rsidTr="00862EE9">
        <w:trPr>
          <w:trHeight w:val="20"/>
        </w:trPr>
        <w:tc>
          <w:tcPr>
            <w:tcW w:w="1429" w:type="pct"/>
            <w:vAlign w:val="center"/>
          </w:tcPr>
          <w:p w14:paraId="3ACAB6F2"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B</w:t>
            </w:r>
          </w:p>
        </w:tc>
        <w:tc>
          <w:tcPr>
            <w:tcW w:w="1547" w:type="pct"/>
            <w:vAlign w:val="center"/>
          </w:tcPr>
          <w:p w14:paraId="0DD929B3"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0.143 &lt; Q &lt; 0.333</w:t>
            </w:r>
          </w:p>
        </w:tc>
        <w:tc>
          <w:tcPr>
            <w:tcW w:w="2024" w:type="pct"/>
            <w:vAlign w:val="center"/>
            <w:hideMark/>
          </w:tcPr>
          <w:p w14:paraId="5F216BF3"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Wet</w:t>
            </w:r>
          </w:p>
        </w:tc>
      </w:tr>
      <w:tr w:rsidR="000C3C79" w:rsidRPr="003D72DD" w14:paraId="7F52C8DE" w14:textId="77777777" w:rsidTr="00862EE9">
        <w:trPr>
          <w:trHeight w:val="20"/>
        </w:trPr>
        <w:tc>
          <w:tcPr>
            <w:tcW w:w="1429" w:type="pct"/>
            <w:vAlign w:val="center"/>
          </w:tcPr>
          <w:p w14:paraId="0355AD82"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C</w:t>
            </w:r>
          </w:p>
        </w:tc>
        <w:tc>
          <w:tcPr>
            <w:tcW w:w="1547" w:type="pct"/>
            <w:vAlign w:val="center"/>
          </w:tcPr>
          <w:p w14:paraId="08EDFE57"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0.333 &lt; Q &lt; 0.600</w:t>
            </w:r>
          </w:p>
        </w:tc>
        <w:tc>
          <w:tcPr>
            <w:tcW w:w="2024" w:type="pct"/>
            <w:vAlign w:val="center"/>
            <w:hideMark/>
          </w:tcPr>
          <w:p w14:paraId="2D43063B"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A bit wet</w:t>
            </w:r>
          </w:p>
        </w:tc>
      </w:tr>
      <w:tr w:rsidR="000C3C79" w:rsidRPr="003D72DD" w14:paraId="36FC9F68" w14:textId="77777777" w:rsidTr="00862EE9">
        <w:trPr>
          <w:trHeight w:val="20"/>
        </w:trPr>
        <w:tc>
          <w:tcPr>
            <w:tcW w:w="1429" w:type="pct"/>
            <w:vAlign w:val="center"/>
          </w:tcPr>
          <w:p w14:paraId="25F0D8C6"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D</w:t>
            </w:r>
          </w:p>
        </w:tc>
        <w:tc>
          <w:tcPr>
            <w:tcW w:w="1547" w:type="pct"/>
            <w:vAlign w:val="center"/>
          </w:tcPr>
          <w:p w14:paraId="23B8DB9A"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0.600 &lt; Q &lt; 1.000</w:t>
            </w:r>
          </w:p>
        </w:tc>
        <w:tc>
          <w:tcPr>
            <w:tcW w:w="2024" w:type="pct"/>
            <w:vAlign w:val="center"/>
            <w:hideMark/>
          </w:tcPr>
          <w:p w14:paraId="05CD7B37"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Currently</w:t>
            </w:r>
          </w:p>
        </w:tc>
      </w:tr>
      <w:tr w:rsidR="000C3C79" w:rsidRPr="003D72DD" w14:paraId="0D769A34" w14:textId="77777777" w:rsidTr="00862EE9">
        <w:trPr>
          <w:trHeight w:val="20"/>
        </w:trPr>
        <w:tc>
          <w:tcPr>
            <w:tcW w:w="1429" w:type="pct"/>
            <w:vAlign w:val="center"/>
          </w:tcPr>
          <w:p w14:paraId="147C3BFD"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E</w:t>
            </w:r>
          </w:p>
        </w:tc>
        <w:tc>
          <w:tcPr>
            <w:tcW w:w="1547" w:type="pct"/>
            <w:vAlign w:val="center"/>
          </w:tcPr>
          <w:p w14:paraId="7D161F44"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1.000 &lt; Q &lt; 1.670</w:t>
            </w:r>
          </w:p>
        </w:tc>
        <w:tc>
          <w:tcPr>
            <w:tcW w:w="2024" w:type="pct"/>
            <w:vAlign w:val="center"/>
            <w:hideMark/>
          </w:tcPr>
          <w:p w14:paraId="54BA630C"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A bit dry</w:t>
            </w:r>
          </w:p>
        </w:tc>
      </w:tr>
      <w:tr w:rsidR="000C3C79" w:rsidRPr="003D72DD" w14:paraId="56288393" w14:textId="77777777" w:rsidTr="00862EE9">
        <w:trPr>
          <w:trHeight w:val="20"/>
        </w:trPr>
        <w:tc>
          <w:tcPr>
            <w:tcW w:w="1429" w:type="pct"/>
            <w:vAlign w:val="center"/>
          </w:tcPr>
          <w:p w14:paraId="1A068460"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F</w:t>
            </w:r>
          </w:p>
        </w:tc>
        <w:tc>
          <w:tcPr>
            <w:tcW w:w="1547" w:type="pct"/>
            <w:vAlign w:val="center"/>
          </w:tcPr>
          <w:p w14:paraId="0711154B"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1.670 &lt; Q &lt; 3.000</w:t>
            </w:r>
          </w:p>
        </w:tc>
        <w:tc>
          <w:tcPr>
            <w:tcW w:w="2024" w:type="pct"/>
            <w:vAlign w:val="center"/>
            <w:hideMark/>
          </w:tcPr>
          <w:p w14:paraId="356A9D7D"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Dry</w:t>
            </w:r>
          </w:p>
        </w:tc>
      </w:tr>
      <w:tr w:rsidR="000C3C79" w:rsidRPr="003D72DD" w14:paraId="7F80A187" w14:textId="77777777" w:rsidTr="00862EE9">
        <w:trPr>
          <w:trHeight w:val="20"/>
        </w:trPr>
        <w:tc>
          <w:tcPr>
            <w:tcW w:w="1429" w:type="pct"/>
            <w:vAlign w:val="center"/>
          </w:tcPr>
          <w:p w14:paraId="6B4C7CF6"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G</w:t>
            </w:r>
          </w:p>
        </w:tc>
        <w:tc>
          <w:tcPr>
            <w:tcW w:w="1547" w:type="pct"/>
            <w:vAlign w:val="center"/>
          </w:tcPr>
          <w:p w14:paraId="7062CC0C"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3.000 &lt; Q &lt; 7.000</w:t>
            </w:r>
          </w:p>
        </w:tc>
        <w:tc>
          <w:tcPr>
            <w:tcW w:w="2024" w:type="pct"/>
            <w:vAlign w:val="center"/>
            <w:hideMark/>
          </w:tcPr>
          <w:p w14:paraId="193ACABE"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Very Dry</w:t>
            </w:r>
          </w:p>
        </w:tc>
      </w:tr>
      <w:tr w:rsidR="000C3C79" w:rsidRPr="003D72DD" w14:paraId="1533D4ED" w14:textId="77777777" w:rsidTr="00862EE9">
        <w:trPr>
          <w:trHeight w:val="20"/>
        </w:trPr>
        <w:tc>
          <w:tcPr>
            <w:tcW w:w="1429" w:type="pct"/>
            <w:vAlign w:val="center"/>
          </w:tcPr>
          <w:p w14:paraId="04C1B554" w14:textId="77777777" w:rsidR="000C3C79" w:rsidRPr="003D72DD" w:rsidRDefault="000C3C79" w:rsidP="00862EE9">
            <w:pPr>
              <w:ind w:left="-108"/>
              <w:rPr>
                <w:rFonts w:ascii="Book Antiqua" w:hAnsi="Book Antiqua" w:cs="Times New Roman"/>
                <w:b/>
                <w:bCs/>
                <w:sz w:val="18"/>
                <w:szCs w:val="18"/>
              </w:rPr>
            </w:pPr>
            <w:r w:rsidRPr="003D72DD">
              <w:rPr>
                <w:rFonts w:ascii="Book Antiqua" w:hAnsi="Book Antiqua" w:cs="Times New Roman"/>
                <w:sz w:val="18"/>
                <w:szCs w:val="18"/>
              </w:rPr>
              <w:t>Type H</w:t>
            </w:r>
          </w:p>
        </w:tc>
        <w:tc>
          <w:tcPr>
            <w:tcW w:w="1547" w:type="pct"/>
            <w:vAlign w:val="center"/>
          </w:tcPr>
          <w:p w14:paraId="1655FF9B"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7.000 &lt; Q</w:t>
            </w:r>
          </w:p>
        </w:tc>
        <w:tc>
          <w:tcPr>
            <w:tcW w:w="2024" w:type="pct"/>
            <w:vAlign w:val="center"/>
          </w:tcPr>
          <w:p w14:paraId="7C3B9799" w14:textId="77777777" w:rsidR="000C3C79" w:rsidRPr="00862EE9" w:rsidRDefault="000C3C79" w:rsidP="00862EE9">
            <w:pPr>
              <w:pStyle w:val="Body"/>
              <w:ind w:left="-140" w:right="-102"/>
              <w:jc w:val="right"/>
              <w:rPr>
                <w:rFonts w:ascii="Book Antiqua" w:hAnsi="Book Antiqua" w:cs="Book Antiqua"/>
                <w:sz w:val="18"/>
                <w:szCs w:val="18"/>
              </w:rPr>
            </w:pPr>
            <w:r w:rsidRPr="00862EE9">
              <w:rPr>
                <w:rFonts w:ascii="Book Antiqua" w:hAnsi="Book Antiqua" w:cs="Book Antiqua"/>
                <w:sz w:val="18"/>
                <w:szCs w:val="18"/>
              </w:rPr>
              <w:t>Extraordinarily Dry</w:t>
            </w:r>
          </w:p>
        </w:tc>
      </w:tr>
    </w:tbl>
    <w:p w14:paraId="5F77FA88" w14:textId="77777777" w:rsidR="000C3C79" w:rsidRPr="00862EE9" w:rsidRDefault="000C3C79" w:rsidP="003D72DD">
      <w:pPr>
        <w:rPr>
          <w:rFonts w:ascii="Book Antiqua" w:eastAsia="Book Antiqua" w:hAnsi="Book Antiqua" w:cs="Book Antiqua"/>
          <w:bCs/>
          <w:color w:val="000000" w:themeColor="text1"/>
          <w:sz w:val="20"/>
          <w:szCs w:val="18"/>
        </w:rPr>
      </w:pPr>
    </w:p>
    <w:p w14:paraId="3DC67A0E" w14:textId="5C4FFDC2" w:rsidR="00314828" w:rsidRPr="003638C8" w:rsidRDefault="00314828" w:rsidP="00862EE9">
      <w:pPr>
        <w:ind w:firstLine="426"/>
        <w:jc w:val="both"/>
        <w:rPr>
          <w:rFonts w:ascii="Book Antiqua" w:eastAsia="Book Antiqua" w:hAnsi="Book Antiqua" w:cs="Book Antiqua"/>
          <w:sz w:val="20"/>
          <w:szCs w:val="20"/>
        </w:rPr>
      </w:pPr>
      <w:r w:rsidRPr="003638C8">
        <w:rPr>
          <w:rFonts w:ascii="Book Antiqua" w:eastAsia="Book Antiqua" w:hAnsi="Book Antiqua" w:cs="Book Antiqua"/>
          <w:sz w:val="20"/>
          <w:szCs w:val="20"/>
        </w:rPr>
        <w:t xml:space="preserve">This method classifies climates based on the Q index value, which is the ratio between the average number of dry months and the average number of wet </w:t>
      </w:r>
      <w:r w:rsidRPr="003638C8">
        <w:rPr>
          <w:rFonts w:ascii="Book Antiqua" w:eastAsia="Book Antiqua" w:hAnsi="Book Antiqua" w:cs="Book Antiqua"/>
          <w:sz w:val="20"/>
          <w:szCs w:val="20"/>
        </w:rPr>
        <w:t>months. Wet months are defined as months with more than 100 mm of rainfall, while dry months are those with less than 60 mm of rainfall. The resulting Q value is then used to determine climate type according to the Schmidt–Ferguson criteria</w:t>
      </w:r>
      <w:r w:rsidR="002A1277">
        <w:rPr>
          <w:rFonts w:ascii="Book Antiqua" w:eastAsia="Book Antiqua" w:hAnsi="Book Antiqua" w:cs="Book Antiqua"/>
          <w:sz w:val="20"/>
          <w:szCs w:val="20"/>
        </w:rPr>
        <w:t xml:space="preserve"> </w:t>
      </w:r>
      <w:r w:rsidR="006F655B" w:rsidRPr="003638C8">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10.2991/absr.k.220305.018","author":[{"dropping-particle":"","family":"Sila","given":"Kirana","non-dropping-particle":"","parse-names":false,"suffix":""},{"dropping-particle":"","family":"Mukti","given":"Trisna","non-dropping-particle":"","parse-names":false,"suffix":""},{"dropping-particle":"","family":"Dwi","given":"Bayu","non-dropping-particle":"","parse-names":false,"suffix":""},{"dropping-particle":"","family":"Nugroho","given":"Apri","non-dropping-particle":"","parse-names":false,"suffix":""},{"dropping-particle":"","family":"Maftukhah","given":"Rizki","non-dropping-particle":"","parse-names":false,"suffix":""}],"id":"ITEM-1","issue":"ICoSIA 2021","issued":{"date-parts":[["2022"]]},"page":"122-129","title":"Classification of Climate and Land Suitability of Rice in East Sumba Regency , East Nusa Tenggara","type":"article-journal","volume":"19"},"uris":["http://www.mendeley.com/documents/?uuid=dd3802b6-f46a-4b89-9316-b958baaa63df","http://www.mendeley.com/documents/?uuid=bd51d57c-90a2-4973-a947-72b2b55592db"]}],"mendeley":{"formattedCitation":"(Sila et al., 2022)","plainTextFormattedCitation":"(Sila et al., 2022)","previouslyFormattedCitation":"(Sila et al., 2022)"},"properties":{"noteIndex":0},"schema":"https://github.com/citation-style-language/schema/raw/master/csl-citation.json"}</w:instrText>
      </w:r>
      <w:r w:rsidR="006F655B" w:rsidRPr="003638C8">
        <w:rPr>
          <w:rFonts w:ascii="Book Antiqua" w:eastAsia="Book Antiqua" w:hAnsi="Book Antiqua" w:cs="Book Antiqua"/>
          <w:sz w:val="20"/>
          <w:szCs w:val="20"/>
        </w:rPr>
        <w:fldChar w:fldCharType="separate"/>
      </w:r>
      <w:r w:rsidR="00D51CF0" w:rsidRPr="00D51CF0">
        <w:rPr>
          <w:rFonts w:ascii="Book Antiqua" w:eastAsia="Book Antiqua" w:hAnsi="Book Antiqua" w:cs="Book Antiqua"/>
          <w:noProof/>
          <w:sz w:val="20"/>
          <w:szCs w:val="20"/>
        </w:rPr>
        <w:t>(Sila et al., 2022)</w:t>
      </w:r>
      <w:r w:rsidR="006F655B" w:rsidRPr="003638C8">
        <w:rPr>
          <w:rFonts w:ascii="Book Antiqua" w:eastAsia="Book Antiqua" w:hAnsi="Book Antiqua" w:cs="Book Antiqua"/>
          <w:sz w:val="20"/>
          <w:szCs w:val="20"/>
        </w:rPr>
        <w:fldChar w:fldCharType="end"/>
      </w:r>
      <w:r w:rsidRPr="003638C8">
        <w:rPr>
          <w:rFonts w:ascii="Book Antiqua" w:eastAsia="Book Antiqua" w:hAnsi="Book Antiqua" w:cs="Book Antiqua"/>
          <w:sz w:val="20"/>
          <w:szCs w:val="20"/>
        </w:rPr>
        <w:t>.</w:t>
      </w:r>
    </w:p>
    <w:p w14:paraId="3CD72B8A" w14:textId="30628280" w:rsidR="00044D7F" w:rsidRDefault="00913968" w:rsidP="00862EE9">
      <w:pPr>
        <w:ind w:firstLine="426"/>
        <w:jc w:val="both"/>
        <w:rPr>
          <w:rFonts w:ascii="Book Antiqua" w:eastAsia="Book Antiqua" w:hAnsi="Book Antiqua" w:cs="Book Antiqua"/>
          <w:sz w:val="20"/>
          <w:szCs w:val="20"/>
        </w:rPr>
      </w:pPr>
      <w:r w:rsidRPr="00862EE9">
        <w:rPr>
          <w:rFonts w:ascii="Book Antiqua" w:eastAsia="Book Antiqua" w:hAnsi="Book Antiqua" w:cs="Book Antiqua"/>
          <w:sz w:val="20"/>
          <w:szCs w:val="20"/>
        </w:rPr>
        <w:t>The climate classification according to Schmidt-Ferguson is more suitable for use in the plantation sector, because it has advantages including being suitable for tropical areas, paying close attention to temperature fluctuations, simple data analysis and being suitable for the whole world</w:t>
      </w:r>
      <w:r w:rsidR="00A20EEE" w:rsidRPr="00862EE9">
        <w:rPr>
          <w:rFonts w:ascii="Book Antiqua" w:eastAsia="Book Antiqua" w:hAnsi="Book Antiqua" w:cs="Book Antiqua"/>
          <w:sz w:val="20"/>
          <w:szCs w:val="20"/>
        </w:rPr>
        <w:t xml:space="preserve"> </w:t>
      </w:r>
      <w:r w:rsidRPr="00862EE9">
        <w:rPr>
          <w:rFonts w:ascii="Book Antiqua" w:eastAsia="Book Antiqua" w:hAnsi="Book Antiqua" w:cs="Book Antiqua"/>
          <w:sz w:val="20"/>
          <w:szCs w:val="20"/>
        </w:rPr>
        <w:fldChar w:fldCharType="begin" w:fldLock="1"/>
      </w:r>
      <w:r w:rsidR="00D51CF0" w:rsidRPr="00862EE9">
        <w:rPr>
          <w:rFonts w:ascii="Book Antiqua" w:eastAsia="Book Antiqua" w:hAnsi="Book Antiqua" w:cs="Book Antiqua"/>
          <w:sz w:val="20"/>
          <w:szCs w:val="20"/>
        </w:rPr>
        <w:instrText>ADDIN CSL_CITATION {"citationItems":[{"id":"ITEM-1","itemData":{"DOI":"https://doi.org/10.31172/bgb.v3i1.66","author":[{"dropping-particle":"","family":"Rahmanto","given":"Edi","non-dropping-particle":"","parse-names":false,"suffix":""},{"dropping-particle":"","family":"Rahmabudhi","given":"Sabila","non-dropping-particle":"","parse-names":false,"suffix":""},{"dropping-particle":"","family":"Kustia","given":"Tia","non-dropping-particle":"","parse-names":false,"suffix":""},{"dropping-particle":"","family":"Kampar","given":"Stasiun Klimatologi","non-dropping-particle":"","parse-names":false,"suffix":""},{"dropping-particle":"","family":"Unggas","given":"Jl","non-dropping-particle":"","parse-names":false,"suffix":""},{"dropping-particle":"","family":"Tiga","given":"Kel Simpang","non-dropping-particle":"","parse-names":false,"suffix":""},{"dropping-particle":"","family":"Raya","given":"Kec Bukit","non-dropping-particle":"","parse-names":false,"suffix":""}],"id":"ITEM-1","issued":{"date-parts":[["2022"]]},"page":"35-42","title":"Analisis Spasial Penentuan Tipe Iklim Menurut Klasifikasi Schmidt – Ferguson Menggunakan Metode Thiessen – Polygon di Provinsi Riau Spatial Analysis of Climate Type Determination by Schmidt – Ferguson Classification Using the Thiessen – Polygon Method in","type":"article-journal","volume":"3"},"uris":["http://www.mendeley.com/documents/?uuid=628b44bd-f68a-4cf4-a562-8dec37b90e66","http://www.mendeley.com/documents/?uuid=781d45a7-6ac4-4c09-b18e-dc6df460b698"]}],"mendeley":{"formattedCitation":"(Rahmanto et al., 2022)","plainTextFormattedCitation":"(Rahmanto et al., 2022)","previouslyFormattedCitation":"(Rahmanto et al., 2022)"},"properties":{"noteIndex":0},"schema":"https://github.com/citation-style-language/schema/raw/master/csl-citation.json"}</w:instrText>
      </w:r>
      <w:r w:rsidRPr="00862EE9">
        <w:rPr>
          <w:rFonts w:ascii="Book Antiqua" w:eastAsia="Book Antiqua" w:hAnsi="Book Antiqua" w:cs="Book Antiqua"/>
          <w:sz w:val="20"/>
          <w:szCs w:val="20"/>
        </w:rPr>
        <w:fldChar w:fldCharType="separate"/>
      </w:r>
      <w:r w:rsidR="00D51CF0" w:rsidRPr="00862EE9">
        <w:rPr>
          <w:rFonts w:ascii="Book Antiqua" w:eastAsia="Book Antiqua" w:hAnsi="Book Antiqua" w:cs="Book Antiqua"/>
          <w:sz w:val="20"/>
          <w:szCs w:val="20"/>
        </w:rPr>
        <w:t>(Rahmanto et al., 2022)</w:t>
      </w:r>
      <w:r w:rsidRPr="00862EE9">
        <w:rPr>
          <w:rFonts w:ascii="Book Antiqua" w:eastAsia="Book Antiqua" w:hAnsi="Book Antiqua" w:cs="Book Antiqua"/>
          <w:sz w:val="20"/>
          <w:szCs w:val="20"/>
        </w:rPr>
        <w:fldChar w:fldCharType="end"/>
      </w:r>
      <w:r w:rsidRPr="00862EE9">
        <w:rPr>
          <w:rFonts w:ascii="Book Antiqua" w:eastAsia="Book Antiqua" w:hAnsi="Book Antiqua" w:cs="Book Antiqua"/>
          <w:sz w:val="20"/>
          <w:szCs w:val="20"/>
        </w:rPr>
        <w:t>. Schmidt Ferguson determined BB, BL and BK year by year during the observation period which were then added up and the average calculated</w:t>
      </w:r>
      <w:r w:rsidR="00A20EEE" w:rsidRPr="00862EE9">
        <w:rPr>
          <w:rFonts w:ascii="Book Antiqua" w:eastAsia="Book Antiqua" w:hAnsi="Book Antiqua" w:cs="Book Antiqua"/>
          <w:sz w:val="20"/>
          <w:szCs w:val="20"/>
        </w:rPr>
        <w:t xml:space="preserve"> </w:t>
      </w:r>
      <w:r w:rsidR="00D16A01" w:rsidRPr="00862EE9">
        <w:rPr>
          <w:rFonts w:ascii="Book Antiqua" w:eastAsia="Book Antiqua" w:hAnsi="Book Antiqua" w:cs="Book Antiqua"/>
          <w:sz w:val="20"/>
          <w:szCs w:val="20"/>
        </w:rPr>
        <w:fldChar w:fldCharType="begin" w:fldLock="1"/>
      </w:r>
      <w:r w:rsidR="00D51CF0" w:rsidRPr="00862EE9">
        <w:rPr>
          <w:rFonts w:ascii="Book Antiqua" w:eastAsia="Book Antiqua" w:hAnsi="Book Antiqua" w:cs="Book Antiqua"/>
          <w:sz w:val="20"/>
          <w:szCs w:val="20"/>
        </w:rPr>
        <w:instrText>ADDIN CSL_CITATION {"citationItems":[{"id":"ITEM-1","itemData":{"DOI":"10.23960/jtaf.v11i1.3076","ISSN":"2303016X","abstract":"Curah hujan di Indonesia memiliki tingkat keragaman, hal tersebut memberikan pengaruh yang besar terhadap kehidupan masyarakat di Indonesia. Sehingga ketersediaan data curah hujan menjadi hal penting untuk memahami karakteristik dan klasifikasi tipe iklim. Penelitian ini bertujuan untuk mengetahui pola curah hujan dan mengetahui tipe iklim berdasarkan metode Shmidt-Ferguson. Penelitian ini menggunakan data sekunder berupa data curah hujan, kelembaban, tekanan, suhu, arah dan kecepatan angin pada periode 2011-2020, data yang diolah menggunakan perangkat lunak Microsoft Excel, Minitab, WRPlot dan Arcgis. Hasil Berdasarkan yang diperoleh bahwa pola curah hujan di Kabupaten Tangerang termasuk tipe munson karena mengalami puncak musim hujan pada bulan Desember-Februari dan musim kemarau pada bulan Juni-Agustus. Adapun hasil musim hujan maksimum yang terjadi pada bulan Februari tahun 2020 di Lokasi wilayah curug sebesar 556 mm/bulan dan pada tahun 2017 di wilayah balaraja sebesar 660 mm/bulan. Sedangkan untuk musim hujan minimum terjadi pada bulan Agustus tahun 2012 dan 2015 di wilayah curug dan balaraja sebesar 0 mm/bulan. Daerah Kabupaten Tangerang memiliki curah hujan klasifikasi menengah dengan intensitas rata-rata sebesar 101-300 mm/bulan. tipe iklim di Kabupaten Tangerang yaitu B dengan Kriteria Basah vegetasi Hutan Hujan Tropika yang memiliki curah hujan tinggi sehingga daerah selalu lembab yang berarti daerah ini dapat ditanami oleh berbagai jenis tumbuhan dan sangat cocok untuk sektor pertanian","author":[{"dropping-particle":"","family":"Ruqoyah","given":"Ratu","non-dropping-particle":"","parse-names":false,"suffix":""},{"dropping-particle":"","family":"Ruhiat","given":"Yayat","non-dropping-particle":"","parse-names":false,"suffix":""},{"dropping-particle":"","family":"Saefullah","given":"Asep","non-dropping-particle":"","parse-names":false,"suffix":""}],"container-title":"Jurnal Teori dan Aplikasi Fisika","id":"ITEM-1","issue":"01","issued":{"date-parts":[["2023"]]},"page":"29-38","title":"Analisis Klasifikasi Tipe Iklim Dari Data Curah Hujan Menggunakan Metode Schmidt-Ferguson (Studi Kasus: Kabupaten Tangerang)","type":"article-journal","volume":"11"},"uris":["http://www.mendeley.com/documents/?uuid=6d86dbf8-43ef-4cd8-a4be-70c2cd6a738f"]}],"mendeley":{"formattedCitation":"(Ruqoyah et al., 2023)","plainTextFormattedCitation":"(Ruqoyah et al., 2023)","previouslyFormattedCitation":"(Ruqoyah et al., 2023)"},"properties":{"noteIndex":0},"schema":"https://github.com/citation-style-language/schema/raw/master/csl-citation.json"}</w:instrText>
      </w:r>
      <w:r w:rsidR="00D16A01" w:rsidRPr="00862EE9">
        <w:rPr>
          <w:rFonts w:ascii="Book Antiqua" w:eastAsia="Book Antiqua" w:hAnsi="Book Antiqua" w:cs="Book Antiqua"/>
          <w:sz w:val="20"/>
          <w:szCs w:val="20"/>
        </w:rPr>
        <w:fldChar w:fldCharType="separate"/>
      </w:r>
      <w:r w:rsidR="00D51CF0" w:rsidRPr="00862EE9">
        <w:rPr>
          <w:rFonts w:ascii="Book Antiqua" w:eastAsia="Book Antiqua" w:hAnsi="Book Antiqua" w:cs="Book Antiqua"/>
          <w:sz w:val="20"/>
          <w:szCs w:val="20"/>
        </w:rPr>
        <w:t>(Ruqoyah et al., 2023)</w:t>
      </w:r>
      <w:r w:rsidR="00D16A01" w:rsidRPr="00862EE9">
        <w:rPr>
          <w:rFonts w:ascii="Book Antiqua" w:eastAsia="Book Antiqua" w:hAnsi="Book Antiqua" w:cs="Book Antiqua"/>
          <w:sz w:val="20"/>
          <w:szCs w:val="20"/>
        </w:rPr>
        <w:fldChar w:fldCharType="end"/>
      </w:r>
      <w:r w:rsidR="00862EE9">
        <w:rPr>
          <w:rFonts w:ascii="Book Antiqua" w:eastAsia="Book Antiqua" w:hAnsi="Book Antiqua" w:cs="Book Antiqua"/>
          <w:sz w:val="20"/>
          <w:szCs w:val="20"/>
        </w:rPr>
        <w:t>,</w:t>
      </w:r>
      <w:r w:rsidR="00D16A01" w:rsidRPr="00862EE9">
        <w:rPr>
          <w:rFonts w:ascii="Book Antiqua" w:eastAsia="Book Antiqua" w:hAnsi="Book Antiqua" w:cs="Book Antiqua"/>
          <w:sz w:val="20"/>
          <w:szCs w:val="20"/>
        </w:rPr>
        <w:t xml:space="preserve"> can be formulated:</w:t>
      </w:r>
    </w:p>
    <w:p w14:paraId="03C6E8A7" w14:textId="77777777" w:rsidR="00862EE9" w:rsidRPr="00862EE9" w:rsidRDefault="00862EE9" w:rsidP="00862EE9">
      <w:pPr>
        <w:ind w:firstLine="426"/>
        <w:jc w:val="both"/>
        <w:rPr>
          <w:rFonts w:ascii="Book Antiqua" w:eastAsia="Book Antiqua" w:hAnsi="Book Antiqua" w:cs="Book Antiqua"/>
          <w:sz w:val="20"/>
          <w:szCs w:val="20"/>
        </w:rPr>
      </w:pPr>
    </w:p>
    <w:p w14:paraId="25AE155E" w14:textId="4C747672" w:rsidR="00801DE0" w:rsidRDefault="00801DE0" w:rsidP="009B059A">
      <w:pPr>
        <w:contextualSpacing/>
        <w:rPr>
          <w:rFonts w:ascii="Book Antiqua" w:eastAsia="Calibri" w:hAnsi="Book Antiqua"/>
          <w:i/>
          <w:iCs/>
          <w:sz w:val="20"/>
          <w:szCs w:val="20"/>
        </w:rPr>
      </w:pPr>
      <w:r w:rsidRPr="009B059A">
        <w:rPr>
          <w:rFonts w:ascii="Book Antiqua" w:eastAsia="Calibri" w:hAnsi="Book Antiqua"/>
          <w:i/>
          <w:iCs/>
          <w:sz w:val="20"/>
          <w:szCs w:val="20"/>
        </w:rPr>
        <w:t xml:space="preserve">Average Dry </w:t>
      </w:r>
      <w:r w:rsidRPr="0011624F">
        <w:rPr>
          <w:rFonts w:ascii="Book Antiqua" w:eastAsia="Calibri" w:hAnsi="Book Antiqua"/>
          <w:i/>
          <w:iCs/>
          <w:sz w:val="20"/>
          <w:szCs w:val="20"/>
        </w:rPr>
        <w:t>Month</w:t>
      </w:r>
    </w:p>
    <w:p w14:paraId="562E620D" w14:textId="77777777" w:rsidR="00E83D84" w:rsidRPr="009B059A" w:rsidRDefault="00E83D84" w:rsidP="009B059A">
      <w:pPr>
        <w:contextualSpacing/>
        <w:rPr>
          <w:rFonts w:ascii="Book Antiqua" w:eastAsia="Calibri" w:hAnsi="Book Antiqua"/>
          <w:i/>
          <w:iCs/>
          <w:sz w:val="22"/>
        </w:rPr>
      </w:pPr>
    </w:p>
    <w:p w14:paraId="22766E86" w14:textId="5ABB1556" w:rsidR="00801DE0" w:rsidRPr="00B53AE5" w:rsidRDefault="00801DE0" w:rsidP="00862EE9">
      <w:pPr>
        <w:widowControl w:val="0"/>
        <w:autoSpaceDE w:val="0"/>
        <w:autoSpaceDN w:val="0"/>
        <w:adjustRightInd w:val="0"/>
        <w:ind w:right="-17"/>
        <w:jc w:val="both"/>
        <w:rPr>
          <w:rFonts w:ascii="Book Antiqua" w:eastAsia="Calibri" w:hAnsi="Book Antiqua"/>
          <w:sz w:val="20"/>
          <w:szCs w:val="20"/>
        </w:rPr>
      </w:pPr>
      <w:r w:rsidRPr="003638C8">
        <w:rPr>
          <w:rFonts w:ascii="Book Antiqua" w:hAnsi="Book Antiqua"/>
          <w:i/>
          <w:iCs/>
          <w:sz w:val="20"/>
          <w:szCs w:val="20"/>
        </w:rPr>
        <w:t>Md =</w:t>
      </w:r>
      <w:r w:rsidR="0011624F">
        <w:rPr>
          <w:rFonts w:ascii="Book Antiqua" w:hAnsi="Book Antiqua"/>
          <w:i/>
          <w:iCs/>
          <w:sz w:val="20"/>
          <w:szCs w:val="20"/>
        </w:rPr>
        <w:t xml:space="preserve"> </w:t>
      </w:r>
      <m:oMath>
        <m:f>
          <m:fPr>
            <m:ctrlPr>
              <w:rPr>
                <w:rFonts w:ascii="Cambria Math" w:eastAsia="Calibri" w:hAnsi="Cambria Math"/>
                <w:i/>
                <w:iCs/>
                <w:sz w:val="20"/>
                <w:szCs w:val="20"/>
              </w:rPr>
            </m:ctrlPr>
          </m:fPr>
          <m:num>
            <m:nary>
              <m:naryPr>
                <m:chr m:val="∑"/>
                <m:limLoc m:val="undOvr"/>
                <m:subHide m:val="1"/>
                <m:supHide m:val="1"/>
                <m:ctrlPr>
                  <w:rPr>
                    <w:rFonts w:ascii="Cambria Math" w:eastAsia="Calibri" w:hAnsi="Cambria Math"/>
                    <w:i/>
                    <w:iCs/>
                    <w:sz w:val="20"/>
                    <w:szCs w:val="20"/>
                  </w:rPr>
                </m:ctrlPr>
              </m:naryPr>
              <m:sub/>
              <m:sup/>
              <m:e>
                <m:r>
                  <w:rPr>
                    <w:rFonts w:ascii="Cambria Math" w:eastAsia="Calibri" w:hAnsi="Cambria Math"/>
                    <w:sz w:val="20"/>
                    <w:szCs w:val="20"/>
                  </w:rPr>
                  <m:t>fd</m:t>
                </m:r>
              </m:e>
            </m:nary>
          </m:num>
          <m:den>
            <m:r>
              <w:rPr>
                <w:rFonts w:ascii="Cambria Math" w:eastAsia="Calibri" w:hAnsi="Cambria Math"/>
                <w:sz w:val="20"/>
                <w:szCs w:val="20"/>
              </w:rPr>
              <m:t>T</m:t>
            </m:r>
          </m:den>
        </m:f>
      </m:oMath>
      <w:r w:rsidR="00B53AE5">
        <w:rPr>
          <w:rFonts w:ascii="Book Antiqua" w:hAnsi="Book Antiqua"/>
          <w:sz w:val="20"/>
          <w:szCs w:val="20"/>
        </w:rPr>
        <w:tab/>
      </w:r>
      <w:r w:rsidR="00862EE9">
        <w:rPr>
          <w:rFonts w:ascii="Book Antiqua" w:hAnsi="Book Antiqua"/>
          <w:sz w:val="20"/>
          <w:szCs w:val="20"/>
        </w:rPr>
        <w:tab/>
      </w:r>
      <w:r w:rsidR="00862EE9">
        <w:rPr>
          <w:rFonts w:ascii="Book Antiqua" w:hAnsi="Book Antiqua"/>
          <w:sz w:val="20"/>
          <w:szCs w:val="20"/>
        </w:rPr>
        <w:tab/>
      </w:r>
      <w:r w:rsidR="00862EE9">
        <w:rPr>
          <w:rFonts w:ascii="Book Antiqua" w:hAnsi="Book Antiqua"/>
          <w:sz w:val="20"/>
          <w:szCs w:val="20"/>
        </w:rPr>
        <w:tab/>
      </w:r>
      <w:r w:rsidR="00B53AE5">
        <w:rPr>
          <w:rFonts w:ascii="Book Antiqua" w:hAnsi="Book Antiqua"/>
          <w:sz w:val="20"/>
          <w:szCs w:val="20"/>
        </w:rPr>
        <w:tab/>
      </w:r>
      <w:r w:rsidR="00E83D84">
        <w:rPr>
          <w:rFonts w:ascii="Book Antiqua" w:hAnsi="Book Antiqua"/>
          <w:sz w:val="20"/>
          <w:szCs w:val="20"/>
        </w:rPr>
        <w:t xml:space="preserve">     </w:t>
      </w:r>
      <w:r w:rsidR="00F11903">
        <w:rPr>
          <w:rFonts w:ascii="Book Antiqua" w:hAnsi="Book Antiqua"/>
          <w:sz w:val="20"/>
          <w:szCs w:val="20"/>
        </w:rPr>
        <w:t xml:space="preserve">   </w:t>
      </w:r>
      <w:r w:rsidR="00B53AE5">
        <w:rPr>
          <w:rFonts w:ascii="Book Antiqua" w:hAnsi="Book Antiqua"/>
          <w:sz w:val="20"/>
          <w:szCs w:val="20"/>
        </w:rPr>
        <w:t>(1)</w:t>
      </w:r>
    </w:p>
    <w:p w14:paraId="2AF0D892" w14:textId="77777777" w:rsidR="00E83D84" w:rsidRDefault="00E83D84" w:rsidP="00E83D84">
      <w:pPr>
        <w:contextualSpacing/>
        <w:jc w:val="both"/>
        <w:rPr>
          <w:rFonts w:ascii="Book Antiqua" w:eastAsia="Calibri" w:hAnsi="Book Antiqua"/>
          <w:sz w:val="20"/>
          <w:szCs w:val="20"/>
        </w:rPr>
      </w:pPr>
    </w:p>
    <w:p w14:paraId="64937A82" w14:textId="2C11711A" w:rsidR="00801DE0" w:rsidRPr="003638C8" w:rsidRDefault="00E83D84" w:rsidP="00E83D84">
      <w:pPr>
        <w:contextualSpacing/>
        <w:jc w:val="both"/>
        <w:rPr>
          <w:rFonts w:ascii="Book Antiqua" w:eastAsia="Calibri" w:hAnsi="Book Antiqua"/>
          <w:sz w:val="20"/>
          <w:szCs w:val="20"/>
        </w:rPr>
      </w:pPr>
      <w:r>
        <w:rPr>
          <w:rFonts w:ascii="Book Antiqua" w:eastAsia="Calibri" w:hAnsi="Book Antiqua"/>
          <w:sz w:val="20"/>
          <w:szCs w:val="20"/>
        </w:rPr>
        <w:t xml:space="preserve">Information: Md </w:t>
      </w:r>
      <w:proofErr w:type="gramStart"/>
      <w:r>
        <w:rPr>
          <w:rFonts w:ascii="Book Antiqua" w:eastAsia="Calibri" w:hAnsi="Book Antiqua"/>
          <w:sz w:val="20"/>
          <w:szCs w:val="20"/>
        </w:rPr>
        <w:t>=  average</w:t>
      </w:r>
      <w:proofErr w:type="gramEnd"/>
      <w:r>
        <w:rPr>
          <w:rFonts w:ascii="Book Antiqua" w:eastAsia="Calibri" w:hAnsi="Book Antiqua"/>
          <w:sz w:val="20"/>
          <w:szCs w:val="20"/>
        </w:rPr>
        <w:t xml:space="preserve"> dry month; </w:t>
      </w:r>
      <w:r w:rsidR="00801DE0" w:rsidRPr="003638C8">
        <w:rPr>
          <w:rFonts w:ascii="Book Antiqua" w:eastAsia="Calibri" w:hAnsi="Book Antiqua"/>
          <w:sz w:val="20"/>
          <w:szCs w:val="20"/>
        </w:rPr>
        <w:sym w:font="Symbol" w:char="F0E5"/>
      </w:r>
      <w:proofErr w:type="spellStart"/>
      <w:r>
        <w:rPr>
          <w:rFonts w:ascii="Book Antiqua" w:eastAsia="Calibri" w:hAnsi="Book Antiqua"/>
          <w:sz w:val="20"/>
          <w:szCs w:val="20"/>
        </w:rPr>
        <w:t>fd</w:t>
      </w:r>
      <w:proofErr w:type="spellEnd"/>
      <w:r>
        <w:rPr>
          <w:rFonts w:ascii="Book Antiqua" w:eastAsia="Calibri" w:hAnsi="Book Antiqua"/>
          <w:sz w:val="20"/>
          <w:szCs w:val="20"/>
        </w:rPr>
        <w:t xml:space="preserve"> = </w:t>
      </w:r>
      <w:r w:rsidR="00801DE0" w:rsidRPr="003638C8">
        <w:rPr>
          <w:rFonts w:ascii="Book Antiqua" w:eastAsia="Calibri" w:hAnsi="Book Antiqua"/>
          <w:sz w:val="20"/>
          <w:szCs w:val="20"/>
        </w:rPr>
        <w:t>Frequency of dry months</w:t>
      </w:r>
      <w:r>
        <w:rPr>
          <w:rFonts w:ascii="Book Antiqua" w:eastAsia="Calibri" w:hAnsi="Book Antiqua"/>
          <w:sz w:val="20"/>
          <w:szCs w:val="20"/>
        </w:rPr>
        <w:t xml:space="preserve">; </w:t>
      </w:r>
      <w:r w:rsidR="006259FA">
        <w:rPr>
          <w:rFonts w:ascii="Book Antiqua" w:eastAsia="Calibri" w:hAnsi="Book Antiqua"/>
          <w:sz w:val="20"/>
          <w:szCs w:val="20"/>
        </w:rPr>
        <w:t>T</w:t>
      </w:r>
      <w:r>
        <w:rPr>
          <w:rFonts w:ascii="Book Antiqua" w:eastAsia="Calibri" w:hAnsi="Book Antiqua"/>
          <w:sz w:val="20"/>
          <w:szCs w:val="20"/>
        </w:rPr>
        <w:t xml:space="preserve"> </w:t>
      </w:r>
      <w:proofErr w:type="gramStart"/>
      <w:r>
        <w:rPr>
          <w:rFonts w:ascii="Book Antiqua" w:eastAsia="Calibri" w:hAnsi="Book Antiqua"/>
          <w:sz w:val="20"/>
          <w:szCs w:val="20"/>
        </w:rPr>
        <w:t xml:space="preserve">= </w:t>
      </w:r>
      <w:r w:rsidR="006259FA">
        <w:rPr>
          <w:rFonts w:ascii="Book Antiqua" w:eastAsia="Calibri" w:hAnsi="Book Antiqua"/>
          <w:sz w:val="20"/>
          <w:szCs w:val="20"/>
        </w:rPr>
        <w:t xml:space="preserve"> </w:t>
      </w:r>
      <w:r>
        <w:rPr>
          <w:rFonts w:ascii="Book Antiqua" w:eastAsia="Calibri" w:hAnsi="Book Antiqua"/>
          <w:sz w:val="20"/>
          <w:szCs w:val="20"/>
        </w:rPr>
        <w:t>t</w:t>
      </w:r>
      <w:r w:rsidR="006259FA" w:rsidRPr="006259FA">
        <w:rPr>
          <w:rFonts w:ascii="Book Antiqua" w:eastAsia="Calibri" w:hAnsi="Book Antiqua"/>
          <w:sz w:val="20"/>
          <w:szCs w:val="20"/>
        </w:rPr>
        <w:t>he</w:t>
      </w:r>
      <w:proofErr w:type="gramEnd"/>
      <w:r w:rsidR="006259FA" w:rsidRPr="006259FA">
        <w:rPr>
          <w:rFonts w:ascii="Book Antiqua" w:eastAsia="Calibri" w:hAnsi="Book Antiqua"/>
          <w:sz w:val="20"/>
          <w:szCs w:val="20"/>
        </w:rPr>
        <w:t xml:space="preserve"> number of years of research</w:t>
      </w:r>
      <w:r>
        <w:rPr>
          <w:rFonts w:ascii="Book Antiqua" w:eastAsia="Calibri" w:hAnsi="Book Antiqua"/>
          <w:sz w:val="20"/>
          <w:szCs w:val="20"/>
        </w:rPr>
        <w:t>.</w:t>
      </w:r>
    </w:p>
    <w:p w14:paraId="52CEBAC2" w14:textId="77777777" w:rsidR="009B059A" w:rsidRDefault="009B059A" w:rsidP="009B059A">
      <w:pPr>
        <w:spacing w:after="240"/>
        <w:contextualSpacing/>
        <w:jc w:val="both"/>
        <w:rPr>
          <w:rFonts w:ascii="Book Antiqua" w:eastAsia="Calibri" w:hAnsi="Book Antiqua"/>
          <w:i/>
          <w:iCs/>
          <w:sz w:val="20"/>
          <w:szCs w:val="20"/>
        </w:rPr>
      </w:pPr>
    </w:p>
    <w:p w14:paraId="08CFC245" w14:textId="342CB5BB" w:rsidR="00801DE0" w:rsidRDefault="00801DE0" w:rsidP="009B059A">
      <w:pPr>
        <w:spacing w:after="240"/>
        <w:contextualSpacing/>
        <w:jc w:val="both"/>
        <w:rPr>
          <w:rFonts w:ascii="Book Antiqua" w:eastAsia="Calibri" w:hAnsi="Book Antiqua"/>
          <w:i/>
          <w:iCs/>
          <w:sz w:val="20"/>
          <w:szCs w:val="20"/>
        </w:rPr>
      </w:pPr>
      <w:r w:rsidRPr="009B059A">
        <w:rPr>
          <w:rFonts w:ascii="Book Antiqua" w:eastAsia="Calibri" w:hAnsi="Book Antiqua"/>
          <w:i/>
          <w:iCs/>
          <w:sz w:val="20"/>
          <w:szCs w:val="20"/>
        </w:rPr>
        <w:t xml:space="preserve">Average Wet </w:t>
      </w:r>
      <w:r w:rsidRPr="0011624F">
        <w:rPr>
          <w:rFonts w:ascii="Book Antiqua" w:eastAsia="Calibri" w:hAnsi="Book Antiqua"/>
          <w:i/>
          <w:iCs/>
          <w:sz w:val="20"/>
          <w:szCs w:val="20"/>
        </w:rPr>
        <w:t>Month</w:t>
      </w:r>
      <w:r w:rsidR="0011624F" w:rsidRPr="0011624F">
        <w:rPr>
          <w:rFonts w:ascii="Book Antiqua" w:eastAsia="Calibri" w:hAnsi="Book Antiqua"/>
          <w:i/>
          <w:iCs/>
          <w:sz w:val="20"/>
          <w:szCs w:val="20"/>
        </w:rPr>
        <w:t>:</w:t>
      </w:r>
    </w:p>
    <w:p w14:paraId="42464295" w14:textId="77777777" w:rsidR="00862EE9" w:rsidRPr="0011624F" w:rsidRDefault="00862EE9" w:rsidP="009B059A">
      <w:pPr>
        <w:spacing w:after="240"/>
        <w:contextualSpacing/>
        <w:jc w:val="both"/>
        <w:rPr>
          <w:rFonts w:ascii="Book Antiqua" w:eastAsia="Calibri" w:hAnsi="Book Antiqua"/>
          <w:i/>
          <w:iCs/>
          <w:sz w:val="20"/>
          <w:szCs w:val="20"/>
        </w:rPr>
      </w:pPr>
    </w:p>
    <w:p w14:paraId="255C79E7" w14:textId="5342BC7F" w:rsidR="00801DE0" w:rsidRPr="00B53AE5" w:rsidRDefault="00801DE0" w:rsidP="00862EE9">
      <w:pPr>
        <w:widowControl w:val="0"/>
        <w:autoSpaceDE w:val="0"/>
        <w:autoSpaceDN w:val="0"/>
        <w:adjustRightInd w:val="0"/>
        <w:ind w:right="-17"/>
        <w:jc w:val="both"/>
        <w:rPr>
          <w:rFonts w:ascii="Book Antiqua" w:eastAsia="Calibri" w:hAnsi="Book Antiqua"/>
          <w:sz w:val="20"/>
          <w:szCs w:val="20"/>
        </w:rPr>
      </w:pPr>
      <w:r w:rsidRPr="003638C8">
        <w:rPr>
          <w:rFonts w:ascii="Book Antiqua" w:hAnsi="Book Antiqua"/>
          <w:i/>
          <w:iCs/>
          <w:sz w:val="20"/>
          <w:szCs w:val="20"/>
        </w:rPr>
        <w:t xml:space="preserve">Mw =  </w:t>
      </w:r>
      <m:oMath>
        <m:f>
          <m:fPr>
            <m:ctrlPr>
              <w:rPr>
                <w:rFonts w:ascii="Cambria Math" w:eastAsia="Calibri" w:hAnsi="Cambria Math"/>
                <w:i/>
                <w:iCs/>
                <w:sz w:val="20"/>
                <w:szCs w:val="20"/>
              </w:rPr>
            </m:ctrlPr>
          </m:fPr>
          <m:num>
            <m:nary>
              <m:naryPr>
                <m:chr m:val="∑"/>
                <m:limLoc m:val="undOvr"/>
                <m:subHide m:val="1"/>
                <m:supHide m:val="1"/>
                <m:ctrlPr>
                  <w:rPr>
                    <w:rFonts w:ascii="Cambria Math" w:eastAsia="Calibri" w:hAnsi="Cambria Math"/>
                    <w:i/>
                    <w:iCs/>
                    <w:sz w:val="20"/>
                    <w:szCs w:val="20"/>
                  </w:rPr>
                </m:ctrlPr>
              </m:naryPr>
              <m:sub/>
              <m:sup/>
              <m:e>
                <m:r>
                  <w:rPr>
                    <w:rFonts w:ascii="Cambria Math" w:eastAsia="Calibri" w:hAnsi="Cambria Math"/>
                    <w:sz w:val="20"/>
                    <w:szCs w:val="20"/>
                  </w:rPr>
                  <m:t>fw</m:t>
                </m:r>
              </m:e>
            </m:nary>
          </m:num>
          <m:den>
            <m:r>
              <w:rPr>
                <w:rFonts w:ascii="Cambria Math" w:eastAsia="Calibri" w:hAnsi="Cambria Math"/>
                <w:sz w:val="20"/>
                <w:szCs w:val="20"/>
              </w:rPr>
              <m:t>T</m:t>
            </m:r>
          </m:den>
        </m:f>
      </m:oMath>
      <w:r w:rsidR="00B53AE5">
        <w:rPr>
          <w:rFonts w:ascii="Book Antiqua" w:hAnsi="Book Antiqua"/>
          <w:sz w:val="20"/>
          <w:szCs w:val="20"/>
        </w:rPr>
        <w:tab/>
      </w:r>
      <w:r w:rsidR="00B53AE5">
        <w:rPr>
          <w:rFonts w:ascii="Book Antiqua" w:hAnsi="Book Antiqua"/>
          <w:sz w:val="20"/>
          <w:szCs w:val="20"/>
        </w:rPr>
        <w:tab/>
      </w:r>
      <w:r w:rsidR="00862EE9">
        <w:rPr>
          <w:rFonts w:ascii="Book Antiqua" w:hAnsi="Book Antiqua"/>
          <w:sz w:val="20"/>
          <w:szCs w:val="20"/>
        </w:rPr>
        <w:tab/>
      </w:r>
      <w:r w:rsidR="00862EE9">
        <w:rPr>
          <w:rFonts w:ascii="Book Antiqua" w:hAnsi="Book Antiqua"/>
          <w:sz w:val="20"/>
          <w:szCs w:val="20"/>
        </w:rPr>
        <w:tab/>
      </w:r>
      <w:r w:rsidR="00862EE9">
        <w:rPr>
          <w:rFonts w:ascii="Book Antiqua" w:hAnsi="Book Antiqua"/>
          <w:sz w:val="20"/>
          <w:szCs w:val="20"/>
        </w:rPr>
        <w:tab/>
        <w:t xml:space="preserve">        </w:t>
      </w:r>
      <w:r w:rsidR="00B53AE5">
        <w:rPr>
          <w:rFonts w:ascii="Book Antiqua" w:hAnsi="Book Antiqua"/>
          <w:sz w:val="20"/>
          <w:szCs w:val="20"/>
        </w:rPr>
        <w:t>(</w:t>
      </w:r>
      <w:r w:rsidR="00814F07">
        <w:rPr>
          <w:rFonts w:ascii="Book Antiqua" w:hAnsi="Book Antiqua"/>
          <w:sz w:val="20"/>
          <w:szCs w:val="20"/>
        </w:rPr>
        <w:t>2</w:t>
      </w:r>
      <w:r w:rsidR="00B53AE5">
        <w:rPr>
          <w:rFonts w:ascii="Book Antiqua" w:hAnsi="Book Antiqua"/>
          <w:sz w:val="20"/>
          <w:szCs w:val="20"/>
        </w:rPr>
        <w:t>)</w:t>
      </w:r>
    </w:p>
    <w:p w14:paraId="3244A51F" w14:textId="77777777" w:rsidR="00E83D84" w:rsidRDefault="00E83D84" w:rsidP="00E83D84">
      <w:pPr>
        <w:contextualSpacing/>
        <w:jc w:val="both"/>
        <w:rPr>
          <w:rFonts w:ascii="Book Antiqua" w:eastAsia="Calibri" w:hAnsi="Book Antiqua"/>
          <w:sz w:val="20"/>
          <w:szCs w:val="20"/>
        </w:rPr>
      </w:pPr>
    </w:p>
    <w:p w14:paraId="2E5F8BFB" w14:textId="4CDF8189" w:rsidR="006259FA" w:rsidRDefault="00E83D84" w:rsidP="00E83D84">
      <w:pPr>
        <w:contextualSpacing/>
        <w:jc w:val="both"/>
        <w:rPr>
          <w:rFonts w:ascii="Book Antiqua" w:eastAsia="Calibri" w:hAnsi="Book Antiqua"/>
          <w:sz w:val="20"/>
          <w:szCs w:val="20"/>
        </w:rPr>
      </w:pPr>
      <w:r>
        <w:rPr>
          <w:rFonts w:ascii="Book Antiqua" w:eastAsia="Calibri" w:hAnsi="Book Antiqua"/>
          <w:sz w:val="20"/>
          <w:szCs w:val="20"/>
        </w:rPr>
        <w:t xml:space="preserve">Information: Mw = average wet month; </w:t>
      </w:r>
      <w:r w:rsidR="00801DE0" w:rsidRPr="003638C8">
        <w:rPr>
          <w:rFonts w:ascii="Book Antiqua" w:eastAsia="Calibri" w:hAnsi="Book Antiqua"/>
          <w:sz w:val="20"/>
          <w:szCs w:val="20"/>
        </w:rPr>
        <w:sym w:font="Symbol" w:char="F0E5"/>
      </w:r>
      <w:proofErr w:type="spellStart"/>
      <w:r>
        <w:rPr>
          <w:rFonts w:ascii="Book Antiqua" w:eastAsia="Calibri" w:hAnsi="Book Antiqua"/>
          <w:sz w:val="20"/>
          <w:szCs w:val="20"/>
        </w:rPr>
        <w:t>fw</w:t>
      </w:r>
      <w:proofErr w:type="spellEnd"/>
      <w:r>
        <w:rPr>
          <w:rFonts w:ascii="Book Antiqua" w:eastAsia="Calibri" w:hAnsi="Book Antiqua"/>
          <w:sz w:val="20"/>
          <w:szCs w:val="20"/>
        </w:rPr>
        <w:t xml:space="preserve"> = f</w:t>
      </w:r>
      <w:r w:rsidR="00801DE0" w:rsidRPr="003638C8">
        <w:rPr>
          <w:rFonts w:ascii="Book Antiqua" w:eastAsia="Calibri" w:hAnsi="Book Antiqua"/>
          <w:sz w:val="20"/>
          <w:szCs w:val="20"/>
        </w:rPr>
        <w:t>requency of wet months</w:t>
      </w:r>
      <w:r>
        <w:rPr>
          <w:rFonts w:ascii="Book Antiqua" w:eastAsia="Calibri" w:hAnsi="Book Antiqua"/>
          <w:sz w:val="20"/>
          <w:szCs w:val="20"/>
        </w:rPr>
        <w:t xml:space="preserve">; </w:t>
      </w:r>
      <w:r w:rsidR="006259FA">
        <w:rPr>
          <w:rFonts w:ascii="Book Antiqua" w:eastAsia="Calibri" w:hAnsi="Book Antiqua"/>
          <w:sz w:val="20"/>
          <w:szCs w:val="20"/>
        </w:rPr>
        <w:t>T</w:t>
      </w:r>
      <w:r>
        <w:rPr>
          <w:rFonts w:ascii="Book Antiqua" w:eastAsia="Calibri" w:hAnsi="Book Antiqua"/>
          <w:sz w:val="20"/>
          <w:szCs w:val="20"/>
        </w:rPr>
        <w:t xml:space="preserve"> =</w:t>
      </w:r>
      <w:r w:rsidR="006259FA">
        <w:rPr>
          <w:rFonts w:ascii="Book Antiqua" w:eastAsia="Calibri" w:hAnsi="Book Antiqua"/>
          <w:sz w:val="20"/>
          <w:szCs w:val="20"/>
        </w:rPr>
        <w:t xml:space="preserve"> </w:t>
      </w:r>
      <w:r>
        <w:rPr>
          <w:rFonts w:ascii="Book Antiqua" w:eastAsia="Calibri" w:hAnsi="Book Antiqua"/>
          <w:sz w:val="20"/>
          <w:szCs w:val="20"/>
        </w:rPr>
        <w:t>t</w:t>
      </w:r>
      <w:r w:rsidR="006259FA" w:rsidRPr="006259FA">
        <w:rPr>
          <w:rFonts w:ascii="Book Antiqua" w:eastAsia="Calibri" w:hAnsi="Book Antiqua"/>
          <w:sz w:val="20"/>
          <w:szCs w:val="20"/>
        </w:rPr>
        <w:t>he number of years of research</w:t>
      </w:r>
      <w:r>
        <w:rPr>
          <w:rFonts w:ascii="Book Antiqua" w:eastAsia="Calibri" w:hAnsi="Book Antiqua"/>
          <w:sz w:val="20"/>
          <w:szCs w:val="20"/>
        </w:rPr>
        <w:t>.</w:t>
      </w:r>
    </w:p>
    <w:p w14:paraId="7F49CA36" w14:textId="77777777" w:rsidR="00E83D84" w:rsidRPr="003638C8" w:rsidRDefault="00E83D84" w:rsidP="00E83D84">
      <w:pPr>
        <w:contextualSpacing/>
        <w:jc w:val="both"/>
        <w:rPr>
          <w:rFonts w:ascii="Book Antiqua" w:eastAsia="Calibri" w:hAnsi="Book Antiqua"/>
          <w:sz w:val="20"/>
          <w:szCs w:val="20"/>
        </w:rPr>
      </w:pPr>
    </w:p>
    <w:p w14:paraId="68D3CA57" w14:textId="5E0DC55E" w:rsidR="0011624F" w:rsidRPr="0011624F" w:rsidRDefault="00E83D84" w:rsidP="0011624F">
      <w:pPr>
        <w:rPr>
          <w:rFonts w:ascii="Book Antiqua" w:eastAsia="Calibri" w:hAnsi="Book Antiqua"/>
          <w:i/>
          <w:iCs/>
          <w:sz w:val="20"/>
          <w:szCs w:val="20"/>
        </w:rPr>
      </w:pPr>
      <w:r>
        <w:rPr>
          <w:rFonts w:ascii="Book Antiqua" w:eastAsia="Calibri" w:hAnsi="Book Antiqua"/>
          <w:i/>
          <w:iCs/>
          <w:sz w:val="20"/>
          <w:szCs w:val="20"/>
        </w:rPr>
        <w:t>Q Value</w:t>
      </w:r>
    </w:p>
    <w:p w14:paraId="36ABDABB" w14:textId="77777777" w:rsidR="0011624F" w:rsidRDefault="0011624F" w:rsidP="0011624F">
      <w:pPr>
        <w:spacing w:before="240"/>
        <w:ind w:left="2268"/>
        <w:contextualSpacing/>
        <w:jc w:val="both"/>
        <w:rPr>
          <w:rFonts w:ascii="Book Antiqua" w:hAnsi="Book Antiqua"/>
          <w:sz w:val="20"/>
          <w:szCs w:val="20"/>
        </w:rPr>
      </w:pPr>
    </w:p>
    <w:p w14:paraId="584153E3" w14:textId="53550D2C" w:rsidR="00801DE0" w:rsidRPr="003638C8" w:rsidRDefault="00801DE0" w:rsidP="00E83D84">
      <w:pPr>
        <w:widowControl w:val="0"/>
        <w:autoSpaceDE w:val="0"/>
        <w:autoSpaceDN w:val="0"/>
        <w:adjustRightInd w:val="0"/>
        <w:ind w:right="-17"/>
        <w:jc w:val="both"/>
        <w:rPr>
          <w:rFonts w:ascii="Book Antiqua" w:hAnsi="Book Antiqua"/>
          <w:i/>
          <w:iCs/>
          <w:sz w:val="20"/>
          <w:szCs w:val="20"/>
        </w:rPr>
      </w:pPr>
      <w:r w:rsidRPr="003638C8">
        <w:rPr>
          <w:rFonts w:ascii="Book Antiqua" w:hAnsi="Book Antiqua"/>
          <w:sz w:val="20"/>
          <w:szCs w:val="20"/>
        </w:rPr>
        <w:t xml:space="preserve">Q = </w:t>
      </w:r>
      <w:r w:rsidR="0011624F">
        <w:rPr>
          <w:rFonts w:ascii="Book Antiqua" w:hAnsi="Book Antiqua"/>
          <w:sz w:val="20"/>
          <w:szCs w:val="20"/>
        </w:rPr>
        <w:t xml:space="preserve"> </w:t>
      </w:r>
      <m:oMath>
        <m:f>
          <m:fPr>
            <m:ctrlPr>
              <w:rPr>
                <w:rFonts w:ascii="Cambria Math" w:eastAsia="Calibri" w:hAnsi="Cambria Math"/>
                <w:i/>
                <w:sz w:val="20"/>
                <w:szCs w:val="20"/>
              </w:rPr>
            </m:ctrlPr>
          </m:fPr>
          <m:num>
            <m:r>
              <w:rPr>
                <w:rFonts w:ascii="Cambria Math" w:eastAsia="Calibri" w:hAnsi="Cambria Math"/>
                <w:sz w:val="20"/>
                <w:szCs w:val="20"/>
              </w:rPr>
              <m:t>Md</m:t>
            </m:r>
          </m:num>
          <m:den>
            <m:r>
              <m:rPr>
                <m:sty m:val="p"/>
              </m:rPr>
              <w:rPr>
                <w:rFonts w:ascii="Cambria Math" w:eastAsia="Calibri" w:hAnsi="Cambria Math"/>
                <w:sz w:val="20"/>
                <w:szCs w:val="20"/>
              </w:rPr>
              <m:t>Mw</m:t>
            </m:r>
          </m:den>
        </m:f>
        <m:r>
          <w:rPr>
            <w:rFonts w:ascii="Cambria Math" w:eastAsia="Calibri" w:hAnsi="Cambria Math"/>
            <w:sz w:val="20"/>
            <w:szCs w:val="20"/>
          </w:rPr>
          <m:t xml:space="preserve"> x 100%</m:t>
        </m:r>
      </m:oMath>
      <w:r w:rsidR="00F11903">
        <w:rPr>
          <w:rFonts w:ascii="Book Antiqua" w:hAnsi="Book Antiqua"/>
          <w:sz w:val="20"/>
          <w:szCs w:val="20"/>
        </w:rPr>
        <w:tab/>
      </w:r>
      <w:r w:rsidR="00F11903">
        <w:rPr>
          <w:rFonts w:ascii="Book Antiqua" w:hAnsi="Book Antiqua"/>
          <w:sz w:val="20"/>
          <w:szCs w:val="20"/>
        </w:rPr>
        <w:tab/>
      </w:r>
      <w:r w:rsidR="00E83D84">
        <w:rPr>
          <w:rFonts w:ascii="Book Antiqua" w:hAnsi="Book Antiqua"/>
          <w:sz w:val="20"/>
          <w:szCs w:val="20"/>
        </w:rPr>
        <w:tab/>
      </w:r>
      <w:r w:rsidR="00E83D84">
        <w:rPr>
          <w:rFonts w:ascii="Book Antiqua" w:hAnsi="Book Antiqua"/>
          <w:sz w:val="20"/>
          <w:szCs w:val="20"/>
        </w:rPr>
        <w:tab/>
      </w:r>
      <w:r w:rsidR="00E83D84">
        <w:rPr>
          <w:rFonts w:ascii="Book Antiqua" w:hAnsi="Book Antiqua"/>
          <w:sz w:val="20"/>
          <w:szCs w:val="20"/>
        </w:rPr>
        <w:tab/>
        <w:t xml:space="preserve">        </w:t>
      </w:r>
      <w:r w:rsidR="00F11903">
        <w:rPr>
          <w:rFonts w:ascii="Book Antiqua" w:hAnsi="Book Antiqua"/>
          <w:sz w:val="20"/>
          <w:szCs w:val="20"/>
        </w:rPr>
        <w:t>(3)</w:t>
      </w:r>
    </w:p>
    <w:p w14:paraId="3DD0446E" w14:textId="77777777" w:rsidR="00E83D84" w:rsidRDefault="00E83D84" w:rsidP="00E83D84">
      <w:pPr>
        <w:ind w:right="127"/>
        <w:rPr>
          <w:rFonts w:ascii="Book Antiqua" w:eastAsia="Book Antiqua" w:hAnsi="Book Antiqua" w:cs="Book Antiqua"/>
          <w:bCs/>
          <w:color w:val="000000" w:themeColor="text1"/>
          <w:sz w:val="20"/>
          <w:szCs w:val="20"/>
        </w:rPr>
      </w:pPr>
    </w:p>
    <w:p w14:paraId="527239FA" w14:textId="77A4421D" w:rsidR="00CF6D3F" w:rsidRPr="00A07605" w:rsidRDefault="00E83D84" w:rsidP="00E83D84">
      <w:pPr>
        <w:jc w:val="both"/>
        <w:rPr>
          <w:rFonts w:ascii="Book Antiqua" w:eastAsia="Book Antiqua" w:hAnsi="Book Antiqua" w:cs="Book Antiqua"/>
          <w:bCs/>
          <w:color w:val="000000" w:themeColor="text1"/>
          <w:sz w:val="20"/>
          <w:szCs w:val="20"/>
        </w:rPr>
      </w:pPr>
      <w:r>
        <w:rPr>
          <w:rFonts w:ascii="Book Antiqua" w:eastAsia="Book Antiqua" w:hAnsi="Book Antiqua" w:cs="Book Antiqua"/>
          <w:bCs/>
          <w:color w:val="000000" w:themeColor="text1"/>
          <w:sz w:val="20"/>
          <w:szCs w:val="20"/>
        </w:rPr>
        <w:t xml:space="preserve">Where, </w:t>
      </w:r>
      <w:r w:rsidR="00CF6D3F" w:rsidRPr="003638C8">
        <w:rPr>
          <w:rFonts w:ascii="Book Antiqua" w:eastAsia="Book Antiqua" w:hAnsi="Book Antiqua" w:cs="Book Antiqua"/>
          <w:bCs/>
          <w:color w:val="000000" w:themeColor="text1"/>
          <w:sz w:val="20"/>
          <w:szCs w:val="20"/>
        </w:rPr>
        <w:t>Md</w:t>
      </w:r>
      <w:r>
        <w:rPr>
          <w:rFonts w:ascii="Book Antiqua" w:eastAsia="Book Antiqua" w:hAnsi="Book Antiqua" w:cs="Book Antiqua"/>
          <w:bCs/>
          <w:color w:val="000000" w:themeColor="text1"/>
          <w:sz w:val="20"/>
          <w:szCs w:val="20"/>
        </w:rPr>
        <w:t xml:space="preserve"> = average dry month; </w:t>
      </w:r>
      <w:r w:rsidR="00CF6D3F" w:rsidRPr="003638C8">
        <w:rPr>
          <w:rFonts w:ascii="Book Antiqua" w:eastAsia="Book Antiqua" w:hAnsi="Book Antiqua" w:cs="Book Antiqua"/>
          <w:bCs/>
          <w:color w:val="000000" w:themeColor="text1"/>
          <w:sz w:val="20"/>
          <w:szCs w:val="20"/>
        </w:rPr>
        <w:t>Mw</w:t>
      </w:r>
      <w:r>
        <w:rPr>
          <w:rFonts w:ascii="Book Antiqua" w:eastAsia="Book Antiqua" w:hAnsi="Book Antiqua" w:cs="Book Antiqua"/>
          <w:bCs/>
          <w:color w:val="000000" w:themeColor="text1"/>
          <w:sz w:val="20"/>
          <w:szCs w:val="20"/>
        </w:rPr>
        <w:t xml:space="preserve"> = a</w:t>
      </w:r>
      <w:r w:rsidR="00CF6D3F" w:rsidRPr="003638C8">
        <w:rPr>
          <w:rFonts w:ascii="Book Antiqua" w:eastAsia="Book Antiqua" w:hAnsi="Book Antiqua" w:cs="Book Antiqua"/>
          <w:bCs/>
          <w:color w:val="000000" w:themeColor="text1"/>
          <w:sz w:val="20"/>
          <w:szCs w:val="20"/>
        </w:rPr>
        <w:t>verage wet month</w:t>
      </w:r>
      <w:r>
        <w:rPr>
          <w:rFonts w:ascii="Book Antiqua" w:eastAsia="Book Antiqua" w:hAnsi="Book Antiqua" w:cs="Book Antiqua"/>
          <w:bCs/>
          <w:color w:val="000000" w:themeColor="text1"/>
          <w:sz w:val="20"/>
          <w:szCs w:val="20"/>
        </w:rPr>
        <w:t xml:space="preserve">; </w:t>
      </w:r>
      <w:r>
        <w:rPr>
          <w:rFonts w:ascii="Book Antiqua" w:eastAsia="Calibri" w:hAnsi="Book Antiqua"/>
          <w:sz w:val="20"/>
          <w:szCs w:val="20"/>
        </w:rPr>
        <w:t>Q =</w:t>
      </w:r>
      <w:r w:rsidR="001E650F" w:rsidRPr="003638C8">
        <w:rPr>
          <w:rFonts w:ascii="Book Antiqua" w:eastAsia="Calibri" w:hAnsi="Book Antiqua"/>
          <w:sz w:val="20"/>
          <w:szCs w:val="20"/>
        </w:rPr>
        <w:t xml:space="preserve"> </w:t>
      </w:r>
      <w:r w:rsidR="001E650F" w:rsidRPr="0011624F">
        <w:rPr>
          <w:rFonts w:ascii="Book Antiqua" w:eastAsia="Calibri" w:hAnsi="Book Antiqua"/>
          <w:sz w:val="20"/>
          <w:szCs w:val="20"/>
        </w:rPr>
        <w:t>Climate type SF</w:t>
      </w:r>
      <w:r>
        <w:rPr>
          <w:rFonts w:ascii="Book Antiqua" w:eastAsia="Book Antiqua" w:hAnsi="Book Antiqua" w:cs="Book Antiqua"/>
          <w:bCs/>
          <w:color w:val="000000" w:themeColor="text1"/>
          <w:sz w:val="20"/>
          <w:szCs w:val="20"/>
        </w:rPr>
        <w:t xml:space="preserve">. </w:t>
      </w:r>
      <w:r w:rsidR="005D00EB" w:rsidRPr="003638C8">
        <w:rPr>
          <w:rFonts w:ascii="Book Antiqua" w:eastAsia="Book Antiqua" w:hAnsi="Book Antiqua" w:cs="Book Antiqua"/>
          <w:bCs/>
          <w:color w:val="000000" w:themeColor="text1"/>
          <w:sz w:val="20"/>
          <w:szCs w:val="20"/>
        </w:rPr>
        <w:t>Q value to determine the type and nature of rain</w:t>
      </w:r>
      <w:r w:rsidR="001E650F" w:rsidRPr="00A07605">
        <w:rPr>
          <w:rFonts w:ascii="Book Antiqua" w:eastAsia="Book Antiqua" w:hAnsi="Book Antiqua" w:cs="Book Antiqua"/>
          <w:bCs/>
          <w:color w:val="000000" w:themeColor="text1"/>
          <w:sz w:val="20"/>
          <w:szCs w:val="20"/>
        </w:rPr>
        <w:t xml:space="preserve"> </w:t>
      </w:r>
      <w:r w:rsidR="00731ACD">
        <w:rPr>
          <w:rFonts w:ascii="Book Antiqua" w:eastAsia="Book Antiqua" w:hAnsi="Book Antiqua" w:cs="Book Antiqua"/>
          <w:bCs/>
          <w:color w:val="000000" w:themeColor="text1"/>
          <w:sz w:val="20"/>
          <w:szCs w:val="20"/>
        </w:rPr>
        <w:fldChar w:fldCharType="begin" w:fldLock="1"/>
      </w:r>
      <w:r w:rsidR="00D51CF0">
        <w:rPr>
          <w:rFonts w:ascii="Book Antiqua" w:eastAsia="Book Antiqua" w:hAnsi="Book Antiqua" w:cs="Book Antiqua"/>
          <w:bCs/>
          <w:color w:val="000000" w:themeColor="text1"/>
          <w:sz w:val="20"/>
          <w:szCs w:val="20"/>
        </w:rPr>
        <w:instrText>ADDIN CSL_CITATION {"citationItems":[{"id":"ITEM-1","itemData":{"DOI":"10.24843/ajoas.2023.v13.i02.p02","ISSN":"2088-155X","abstract":"Mapping of Schmidt-Ferguson Climate Classification and Agroclimate Suitability of Red Chili Plant (Capsicum annuum) in Bali Province. Climate tends to be dynamic and changes continuously, as well as climate elements that continue to change in an area. Along with climate change and increasing rain gauge posts, the possibility of changes in climate types based on the Schmidt-Ferguson classification is inevitable. Thus, it is necessary to map the Schmidt-Ferguson climate classification in Bali Province based on data from 1991-2020 to provide an overview of the latest Schmidt-Ferguson climate classification in Bali Province. One of its uses is for the suitability criteria for agroclimatic zones for red chili (Capsicum annuum) plants. This study uses rainfall data from 1991-2020 from BMKG. This distribution data will be used to determine the Schmidt-Ferguson climate type. These results are related to the land suitability requirements for red chili (Capsicum annuum) land crops. GIS mapping will assist in zoning the Schmidt-Ferguson climate type classification area in Bali Province. The results of this study provide an overview of the latest Schmidt-Ferguson climate classification and agroclimatic suitability for red chili (Capsicum annuum) in Bali. There are significant changes when compared to the Schmidt-Ferguson climate classification for the previous period (1981-2010) with the same location and amount of data. Moreover, red chili (Capsicum annuum) plants are generally able to grow throughout the province of Bali, where the most suitable areas are in the northern coastal area.","author":[{"dropping-particle":"","family":"I Ketut Pratama, Gede Sudika","given":"Indayati Sardiana","non-dropping-particle":"","parse-names":false,"suffix":""}],"container-title":"Agrotrop : Journal on Agriculture Science","id":"ITEM-1","issue":"2","issued":{"date-parts":[["2023"]]},"page":"170","title":"Pemetaan Klasifikasi Iklim Schmidt-Ferguson dan Kesesuaian Agroklimat Tanaman Cabai Merah (Capsicum annuum) di Provinsi Bali","type":"article-journal","volume":"13"},"uris":["http://www.mendeley.com/documents/?uuid=a7779a60-00b3-4f1c-8e37-09b3f403352f"]}],"mendeley":{"formattedCitation":"(I Ketut Pratama, Gede Sudika, 2023)","plainTextFormattedCitation":"(I Ketut Pratama, Gede Sudika, 2023)","previouslyFormattedCitation":"(I Ketut Pratama, Gede Sudika, 2023)"},"properties":{"noteIndex":0},"schema":"https://github.com/citation-style-language/schema/raw/master/csl-citation.json"}</w:instrText>
      </w:r>
      <w:r w:rsidR="00731ACD">
        <w:rPr>
          <w:rFonts w:ascii="Book Antiqua" w:eastAsia="Book Antiqua" w:hAnsi="Book Antiqua" w:cs="Book Antiqua"/>
          <w:bCs/>
          <w:color w:val="000000" w:themeColor="text1"/>
          <w:sz w:val="20"/>
          <w:szCs w:val="20"/>
        </w:rPr>
        <w:fldChar w:fldCharType="separate"/>
      </w:r>
      <w:r>
        <w:rPr>
          <w:rFonts w:ascii="Book Antiqua" w:eastAsia="Book Antiqua" w:hAnsi="Book Antiqua" w:cs="Book Antiqua"/>
          <w:bCs/>
          <w:noProof/>
          <w:color w:val="000000" w:themeColor="text1"/>
          <w:sz w:val="20"/>
          <w:szCs w:val="20"/>
        </w:rPr>
        <w:t>(Pratama et al.</w:t>
      </w:r>
      <w:r w:rsidR="00D51CF0" w:rsidRPr="00D51CF0">
        <w:rPr>
          <w:rFonts w:ascii="Book Antiqua" w:eastAsia="Book Antiqua" w:hAnsi="Book Antiqua" w:cs="Book Antiqua"/>
          <w:bCs/>
          <w:noProof/>
          <w:color w:val="000000" w:themeColor="text1"/>
          <w:sz w:val="20"/>
          <w:szCs w:val="20"/>
        </w:rPr>
        <w:t>, 2023)</w:t>
      </w:r>
      <w:r w:rsidR="00731ACD">
        <w:rPr>
          <w:rFonts w:ascii="Book Antiqua" w:eastAsia="Book Antiqua" w:hAnsi="Book Antiqua" w:cs="Book Antiqua"/>
          <w:bCs/>
          <w:color w:val="000000" w:themeColor="text1"/>
          <w:sz w:val="20"/>
          <w:szCs w:val="20"/>
        </w:rPr>
        <w:fldChar w:fldCharType="end"/>
      </w:r>
      <w:r>
        <w:rPr>
          <w:rFonts w:ascii="Book Antiqua" w:eastAsia="Book Antiqua" w:hAnsi="Book Antiqua" w:cs="Book Antiqua"/>
          <w:bCs/>
          <w:color w:val="000000" w:themeColor="text1"/>
          <w:sz w:val="20"/>
          <w:szCs w:val="20"/>
        </w:rPr>
        <w:t>.</w:t>
      </w:r>
    </w:p>
    <w:p w14:paraId="03270164" w14:textId="7F4B7FAA" w:rsidR="003778F2" w:rsidRPr="00E83D84" w:rsidRDefault="00CF6D3F" w:rsidP="00E83D84">
      <w:pPr>
        <w:ind w:firstLine="426"/>
        <w:jc w:val="both"/>
        <w:rPr>
          <w:rFonts w:ascii="Book Antiqua" w:eastAsia="Book Antiqua" w:hAnsi="Book Antiqua" w:cs="Book Antiqua"/>
          <w:sz w:val="20"/>
          <w:szCs w:val="20"/>
        </w:rPr>
      </w:pPr>
      <w:r w:rsidRPr="00E83D84">
        <w:rPr>
          <w:rFonts w:ascii="Book Antiqua" w:eastAsia="Book Antiqua" w:hAnsi="Book Antiqua" w:cs="Book Antiqua"/>
          <w:sz w:val="20"/>
          <w:szCs w:val="20"/>
        </w:rPr>
        <w:t xml:space="preserve">Next, a spatial analysis of climate patterns was conducted using a Geographic Information System (GIS). The climate type values </w:t>
      </w:r>
      <w:r w:rsidRPr="00E83D84">
        <w:rPr>
          <w:rFonts w:eastAsia="Book Antiqua"/>
          <w:sz w:val="20"/>
          <w:szCs w:val="20"/>
        </w:rPr>
        <w:t>​​</w:t>
      </w:r>
      <w:r w:rsidRPr="00E83D84">
        <w:rPr>
          <w:rFonts w:ascii="Book Antiqua" w:eastAsia="Book Antiqua" w:hAnsi="Book Antiqua" w:cs="Book Antiqua"/>
          <w:sz w:val="20"/>
          <w:szCs w:val="20"/>
        </w:rPr>
        <w:t>for each rainfall station were mapped spatially using the Inverse Distance Weighting (IDW) interpolation method</w:t>
      </w:r>
      <w:r w:rsidR="00074894" w:rsidRPr="00E83D84">
        <w:rPr>
          <w:rFonts w:ascii="Book Antiqua" w:eastAsia="Book Antiqua" w:hAnsi="Book Antiqua" w:cs="Book Antiqua"/>
          <w:sz w:val="20"/>
          <w:szCs w:val="20"/>
        </w:rPr>
        <w:t xml:space="preserve"> </w:t>
      </w:r>
      <w:r w:rsidR="008708F9" w:rsidRPr="00E83D84">
        <w:rPr>
          <w:rFonts w:ascii="Book Antiqua" w:eastAsia="Book Antiqua" w:hAnsi="Book Antiqua" w:cs="Book Antiqua"/>
          <w:sz w:val="20"/>
          <w:szCs w:val="20"/>
        </w:rPr>
        <w:fldChar w:fldCharType="begin" w:fldLock="1"/>
      </w:r>
      <w:r w:rsidR="00D51CF0" w:rsidRPr="00E83D84">
        <w:rPr>
          <w:rFonts w:ascii="Book Antiqua" w:eastAsia="Book Antiqua" w:hAnsi="Book Antiqua" w:cs="Book Antiqua"/>
          <w:sz w:val="20"/>
          <w:szCs w:val="20"/>
        </w:rPr>
        <w:instrText>ADDIN CSL_CITATION {"citationItems":[{"id":"ITEM-1","itemData":{"DOI":"https://doi.org/10.21831/gm.v22i1.68239","author":[{"dropping-particle":"","family":"Rizkia Zulal Karimaha","given":"Zein Zidan Azzahmia","non-dropping-particle":"","parse-names":false,"suffix":""}],"container-title":"Geomedia","id":"ITEM-1","issue":"2021","issued":{"date-parts":[["2026"]]},"title":"Pemodelan spasial prediksi curah hujan melalui metode inverse distance weighting (IDW) di wilayah Sumatera Barat tahun 2026","type":"article-journal"},"uris":["http://www.mendeley.com/documents/?uuid=df3d708d-1194-44df-8911-5bd55c7cb294","http://www.mendeley.com/documents/?uuid=abcedcf2-62dd-4f06-90b1-21bff90b5749"]}],"mendeley":{"formattedCitation":"(Rizkia Zulal Karimaha, 2026)","plainTextFormattedCitation":"(Rizkia Zulal Karimaha, 2026)","previouslyFormattedCitation":"(Rizkia Zulal Karimaha, 2026)"},"properties":{"noteIndex":0},"schema":"https://github.com/citation-style-language/schema/raw/master/csl-citation.json"}</w:instrText>
      </w:r>
      <w:r w:rsidR="008708F9" w:rsidRPr="00E83D84">
        <w:rPr>
          <w:rFonts w:ascii="Book Antiqua" w:eastAsia="Book Antiqua" w:hAnsi="Book Antiqua" w:cs="Book Antiqua"/>
          <w:sz w:val="20"/>
          <w:szCs w:val="20"/>
        </w:rPr>
        <w:fldChar w:fldCharType="separate"/>
      </w:r>
      <w:r w:rsidR="00E83D84">
        <w:rPr>
          <w:rFonts w:ascii="Book Antiqua" w:eastAsia="Book Antiqua" w:hAnsi="Book Antiqua" w:cs="Book Antiqua"/>
          <w:sz w:val="20"/>
          <w:szCs w:val="20"/>
        </w:rPr>
        <w:t>(</w:t>
      </w:r>
      <w:r w:rsidR="00D51CF0" w:rsidRPr="00E83D84">
        <w:rPr>
          <w:rFonts w:ascii="Book Antiqua" w:eastAsia="Book Antiqua" w:hAnsi="Book Antiqua" w:cs="Book Antiqua"/>
          <w:sz w:val="20"/>
          <w:szCs w:val="20"/>
        </w:rPr>
        <w:t>Karimaha, 2026)</w:t>
      </w:r>
      <w:r w:rsidR="008708F9" w:rsidRPr="00E83D84">
        <w:rPr>
          <w:rFonts w:ascii="Book Antiqua" w:eastAsia="Book Antiqua" w:hAnsi="Book Antiqua" w:cs="Book Antiqua"/>
          <w:sz w:val="20"/>
          <w:szCs w:val="20"/>
        </w:rPr>
        <w:fldChar w:fldCharType="end"/>
      </w:r>
      <w:r w:rsidR="000C5B76" w:rsidRPr="00E83D84">
        <w:rPr>
          <w:rFonts w:ascii="Book Antiqua" w:eastAsia="Book Antiqua" w:hAnsi="Book Antiqua" w:cs="Book Antiqua"/>
          <w:sz w:val="20"/>
          <w:szCs w:val="20"/>
        </w:rPr>
        <w:t xml:space="preserve">. </w:t>
      </w:r>
      <w:r w:rsidRPr="00E83D84">
        <w:rPr>
          <w:rFonts w:ascii="Book Antiqua" w:eastAsia="Book Antiqua" w:hAnsi="Book Antiqua" w:cs="Book Antiqua"/>
          <w:sz w:val="20"/>
          <w:szCs w:val="20"/>
        </w:rPr>
        <w:t>The IDW method was chosen because it is able to describe spatial variations based on the proximity between observation points and is in accordance with the relatively even distribution of rainfall stations in the research area. The IDW method was adopted to estimate rainfall in areas that do not have observation stations, by utilizing reference stations</w:t>
      </w:r>
      <w:r w:rsidR="00A20EEE" w:rsidRPr="00E83D84">
        <w:rPr>
          <w:rFonts w:ascii="Book Antiqua" w:eastAsia="Book Antiqua" w:hAnsi="Book Antiqua" w:cs="Book Antiqua"/>
          <w:sz w:val="20"/>
          <w:szCs w:val="20"/>
        </w:rPr>
        <w:t xml:space="preserve"> </w:t>
      </w:r>
      <w:r w:rsidR="001F4F61" w:rsidRPr="00E83D84">
        <w:rPr>
          <w:rFonts w:ascii="Book Antiqua" w:eastAsia="Book Antiqua" w:hAnsi="Book Antiqua" w:cs="Book Antiqua"/>
          <w:sz w:val="20"/>
          <w:szCs w:val="20"/>
        </w:rPr>
        <w:fldChar w:fldCharType="begin" w:fldLock="1"/>
      </w:r>
      <w:r w:rsidR="00D51CF0" w:rsidRPr="00E83D84">
        <w:rPr>
          <w:rFonts w:ascii="Book Antiqua" w:eastAsia="Book Antiqua" w:hAnsi="Book Antiqua" w:cs="Book Antiqua"/>
          <w:sz w:val="20"/>
          <w:szCs w:val="20"/>
        </w:rPr>
        <w:instrText>ADDIN CSL_CITATION {"citationItems":[{"id":"ITEM-1","itemData":{"DOI":"https://doi.org/10.24905/jureng.v15i1.7","author":[{"dropping-particle":"","family":"Susanto","given":"Sony","non-dropping-particle":"","parse-names":false,"suffix":""},{"dropping-particle":"","family":"Studi","given":"Program","non-dropping-particle":"","parse-names":false,"suffix":""},{"dropping-particle":"","family":"Sipil","given":"Teknik","non-dropping-particle":"","parse-names":false,"suffix":""},{"dropping-particle":"","family":"Kadiri","given":"Universitas","non-dropping-particle":"","parse-names":false,"suffix":""},{"dropping-particle":"","family":"Kediri","given":"Kabupaten","non-dropping-particle":"","parse-names":false,"suffix":""},{"dropping-particle":"","family":"Maksimum","given":"Curah Hujan","non-dropping-particle":"","parse-names":false,"suffix":""},{"dropping-particle":"","family":"Kediri","given":"Kabupaten","non-dropping-particle":"","parse-names":false,"suffix":""}],"id":"ITEM-1","issue":"1","issued":{"date-parts":[["2024"]]},"page":"44-55","title":"Pemetaan Curah Hujan dengan Metode Interpolasi Invers Distance Weighting ( IDW ) Kabupaten Kediri","type":"article-journal","volume":"15"},"uris":["http://www.mendeley.com/documents/?uuid=53ffeb48-8e3d-46a7-ad64-4850f37cbd92","http://www.mendeley.com/documents/?uuid=2e5caad2-52f4-4053-b6b4-4667b93c082e"]}],"mendeley":{"formattedCitation":"(Susanto et al., 2024)","plainTextFormattedCitation":"(Susanto et al., 2024)","previouslyFormattedCitation":"(Susanto et al., 2024)"},"properties":{"noteIndex":0},"schema":"https://github.com/citation-style-language/schema/raw/master/csl-citation.json"}</w:instrText>
      </w:r>
      <w:r w:rsidR="001F4F61" w:rsidRPr="00E83D84">
        <w:rPr>
          <w:rFonts w:ascii="Book Antiqua" w:eastAsia="Book Antiqua" w:hAnsi="Book Antiqua" w:cs="Book Antiqua"/>
          <w:sz w:val="20"/>
          <w:szCs w:val="20"/>
        </w:rPr>
        <w:fldChar w:fldCharType="separate"/>
      </w:r>
      <w:r w:rsidR="00D51CF0" w:rsidRPr="00E83D84">
        <w:rPr>
          <w:rFonts w:ascii="Book Antiqua" w:eastAsia="Book Antiqua" w:hAnsi="Book Antiqua" w:cs="Book Antiqua"/>
          <w:sz w:val="20"/>
          <w:szCs w:val="20"/>
        </w:rPr>
        <w:t>(Susanto et al., 2024)</w:t>
      </w:r>
      <w:r w:rsidR="001F4F61" w:rsidRPr="00E83D84">
        <w:rPr>
          <w:rFonts w:ascii="Book Antiqua" w:eastAsia="Book Antiqua" w:hAnsi="Book Antiqua" w:cs="Book Antiqua"/>
          <w:sz w:val="20"/>
          <w:szCs w:val="20"/>
        </w:rPr>
        <w:fldChar w:fldCharType="end"/>
      </w:r>
      <w:r w:rsidR="000C5B76" w:rsidRPr="00E83D84">
        <w:rPr>
          <w:rFonts w:ascii="Book Antiqua" w:eastAsia="Book Antiqua" w:hAnsi="Book Antiqua" w:cs="Book Antiqua"/>
          <w:sz w:val="20"/>
          <w:szCs w:val="20"/>
        </w:rPr>
        <w:t>.</w:t>
      </w:r>
      <w:r w:rsidR="00A20EEE" w:rsidRPr="00E83D84">
        <w:rPr>
          <w:rFonts w:ascii="Book Antiqua" w:eastAsia="Book Antiqua" w:hAnsi="Book Antiqua" w:cs="Book Antiqua"/>
          <w:sz w:val="20"/>
          <w:szCs w:val="20"/>
        </w:rPr>
        <w:t xml:space="preserve"> </w:t>
      </w:r>
      <w:r w:rsidR="001F4F61" w:rsidRPr="00E83D84">
        <w:rPr>
          <w:rFonts w:ascii="Book Antiqua" w:eastAsia="Book Antiqua" w:hAnsi="Book Antiqua" w:cs="Book Antiqua"/>
          <w:sz w:val="20"/>
          <w:szCs w:val="20"/>
        </w:rPr>
        <w:t>Overall, this research design allows for structured analysis ranging from data quality verification, climate type grouping, to visualization of the spatial distribution of climate patterns</w:t>
      </w:r>
      <w:r w:rsidR="00D16A01" w:rsidRPr="00E83D84">
        <w:rPr>
          <w:rFonts w:ascii="Book Antiqua" w:eastAsia="Book Antiqua" w:hAnsi="Book Antiqua" w:cs="Book Antiqua"/>
          <w:sz w:val="20"/>
          <w:szCs w:val="20"/>
        </w:rPr>
        <w:t>.</w:t>
      </w:r>
    </w:p>
    <w:p w14:paraId="0A6D1D71" w14:textId="75B27511" w:rsidR="00E02A96" w:rsidRDefault="00CF6D3F" w:rsidP="00E83D84">
      <w:pPr>
        <w:ind w:firstLine="426"/>
        <w:jc w:val="both"/>
        <w:rPr>
          <w:rFonts w:ascii="Book Antiqua" w:eastAsia="Book Antiqua" w:hAnsi="Book Antiqua" w:cs="Book Antiqua"/>
          <w:sz w:val="20"/>
          <w:szCs w:val="20"/>
        </w:rPr>
      </w:pPr>
      <w:r w:rsidRPr="00E83D84">
        <w:rPr>
          <w:rFonts w:ascii="Book Antiqua" w:eastAsia="Book Antiqua" w:hAnsi="Book Antiqua" w:cs="Book Antiqua"/>
          <w:sz w:val="20"/>
          <w:szCs w:val="20"/>
        </w:rPr>
        <w:lastRenderedPageBreak/>
        <w:t xml:space="preserve">This method will work well when the sample points are evenly (randomly) distributed throughout the area and are not clustered. The basis used in this spatial data processing process is the coordinates of the climatology station posts that already have Schmidt-Ferguson climate values </w:t>
      </w:r>
      <w:r w:rsidRPr="00E83D84">
        <w:rPr>
          <w:rFonts w:eastAsia="Book Antiqua"/>
          <w:sz w:val="20"/>
          <w:szCs w:val="20"/>
        </w:rPr>
        <w:t>​​</w:t>
      </w:r>
      <w:r w:rsidRPr="00E83D84">
        <w:rPr>
          <w:rFonts w:ascii="Book Antiqua" w:eastAsia="Book Antiqua" w:hAnsi="Book Antiqua" w:cs="Book Antiqua"/>
          <w:sz w:val="20"/>
          <w:szCs w:val="20"/>
        </w:rPr>
        <w:t>so that spatial data processing can be carried out using interpolation. The fundamental data used in this spatial processing process includes the geographic coordinates of the climatology station posts that have been integrated with the Schmidt-Ferguson climate index values, thus enabling the transformation of tabular data into precise spatial information for regional analysis needs.</w:t>
      </w:r>
    </w:p>
    <w:p w14:paraId="524F0C90" w14:textId="77777777" w:rsidR="00E83D84" w:rsidRDefault="00E83D84" w:rsidP="00E83D84">
      <w:pPr>
        <w:ind w:firstLine="426"/>
        <w:jc w:val="both"/>
        <w:rPr>
          <w:rFonts w:ascii="Book Antiqua" w:eastAsia="Book Antiqua" w:hAnsi="Book Antiqua" w:cs="Book Antiqua"/>
          <w:bCs/>
          <w:color w:val="000000" w:themeColor="text1"/>
          <w:sz w:val="20"/>
          <w:szCs w:val="20"/>
        </w:rPr>
      </w:pPr>
    </w:p>
    <w:p w14:paraId="71882025" w14:textId="4F35EE8A" w:rsidR="002A1277" w:rsidRPr="003638C8" w:rsidRDefault="00A07605" w:rsidP="00BF17C5">
      <w:pPr>
        <w:ind w:right="127"/>
        <w:jc w:val="both"/>
        <w:rPr>
          <w:rFonts w:ascii="Book Antiqua" w:eastAsia="Book Antiqua" w:hAnsi="Book Antiqua" w:cs="Book Antiqua"/>
          <w:bCs/>
          <w:color w:val="000000" w:themeColor="text1"/>
          <w:sz w:val="20"/>
          <w:szCs w:val="20"/>
        </w:rPr>
      </w:pPr>
      <w:r>
        <w:rPr>
          <w:rFonts w:ascii="Book Antiqua" w:eastAsia="Book Antiqua" w:hAnsi="Book Antiqua" w:cs="Book Antiqua"/>
          <w:bCs/>
          <w:noProof/>
          <w:color w:val="000000" w:themeColor="text1"/>
          <w:sz w:val="20"/>
          <w:szCs w:val="20"/>
        </w:rPr>
        <w:drawing>
          <wp:inline distT="0" distB="0" distL="0" distR="0" wp14:anchorId="0E6DA787" wp14:editId="011DF7A7">
            <wp:extent cx="3104831" cy="3686175"/>
            <wp:effectExtent l="0" t="0" r="635" b="0"/>
            <wp:docPr id="1548840693"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840693" name="Gambar 154884069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31319" cy="3717622"/>
                    </a:xfrm>
                    <a:prstGeom prst="rect">
                      <a:avLst/>
                    </a:prstGeom>
                  </pic:spPr>
                </pic:pic>
              </a:graphicData>
            </a:graphic>
          </wp:inline>
        </w:drawing>
      </w:r>
    </w:p>
    <w:p w14:paraId="669A4D4D" w14:textId="2FE2B507" w:rsidR="00802089" w:rsidRDefault="00CF6D3F" w:rsidP="00BF17C5">
      <w:pPr>
        <w:ind w:right="127"/>
        <w:jc w:val="center"/>
        <w:rPr>
          <w:rFonts w:ascii="Book Antiqua" w:hAnsi="Book Antiqua"/>
          <w:sz w:val="18"/>
          <w:szCs w:val="18"/>
          <w:lang w:val="en-ID"/>
        </w:rPr>
      </w:pPr>
      <w:r w:rsidRPr="00EB214B">
        <w:rPr>
          <w:rFonts w:ascii="Book Antiqua" w:hAnsi="Book Antiqua"/>
          <w:b/>
          <w:bCs/>
          <w:sz w:val="18"/>
          <w:szCs w:val="18"/>
          <w:lang w:val="en-ID"/>
        </w:rPr>
        <w:t xml:space="preserve">Figure </w:t>
      </w:r>
      <w:r w:rsidR="00D27F46">
        <w:rPr>
          <w:rFonts w:ascii="Book Antiqua" w:hAnsi="Book Antiqua"/>
          <w:b/>
          <w:bCs/>
          <w:sz w:val="18"/>
          <w:szCs w:val="18"/>
          <w:lang w:val="en-ID"/>
        </w:rPr>
        <w:t>3</w:t>
      </w:r>
      <w:r w:rsidR="00EB214B">
        <w:rPr>
          <w:rFonts w:ascii="Book Antiqua" w:hAnsi="Book Antiqua"/>
          <w:b/>
          <w:bCs/>
          <w:sz w:val="18"/>
          <w:szCs w:val="18"/>
          <w:lang w:val="en-ID"/>
        </w:rPr>
        <w:t xml:space="preserve">. </w:t>
      </w:r>
      <w:r w:rsidRPr="00EB214B">
        <w:rPr>
          <w:rFonts w:ascii="Book Antiqua" w:hAnsi="Book Antiqua"/>
          <w:sz w:val="18"/>
          <w:szCs w:val="18"/>
          <w:lang w:val="en-ID"/>
        </w:rPr>
        <w:t>Stage flowchart</w:t>
      </w:r>
    </w:p>
    <w:p w14:paraId="1E150A05" w14:textId="77777777" w:rsidR="00BF17C5" w:rsidRPr="00BF17C5" w:rsidRDefault="00BF17C5" w:rsidP="00BF17C5">
      <w:pPr>
        <w:ind w:right="127"/>
        <w:jc w:val="center"/>
        <w:rPr>
          <w:rFonts w:ascii="Book Antiqua" w:hAnsi="Book Antiqua"/>
          <w:sz w:val="20"/>
          <w:szCs w:val="18"/>
          <w:lang w:val="en-ID"/>
        </w:rPr>
      </w:pPr>
    </w:p>
    <w:p w14:paraId="48948293" w14:textId="39520DDE" w:rsidR="0077631D" w:rsidRPr="003638C8" w:rsidRDefault="00BF17C5" w:rsidP="00BF17C5">
      <w:pPr>
        <w:rPr>
          <w:rFonts w:ascii="Book Antiqua" w:eastAsia="Book Antiqua" w:hAnsi="Book Antiqua" w:cs="Book Antiqua"/>
          <w:b/>
          <w:sz w:val="22"/>
          <w:szCs w:val="22"/>
        </w:rPr>
      </w:pPr>
      <w:r>
        <w:rPr>
          <w:rFonts w:ascii="Book Antiqua" w:eastAsia="Book Antiqua" w:hAnsi="Book Antiqua" w:cs="Book Antiqua"/>
          <w:b/>
          <w:sz w:val="22"/>
          <w:szCs w:val="22"/>
        </w:rPr>
        <w:t>Result</w:t>
      </w:r>
      <w:r w:rsidR="002C5B73" w:rsidRPr="003638C8">
        <w:rPr>
          <w:rFonts w:ascii="Book Antiqua" w:eastAsia="Book Antiqua" w:hAnsi="Book Antiqua" w:cs="Book Antiqua"/>
          <w:b/>
          <w:sz w:val="22"/>
          <w:szCs w:val="22"/>
        </w:rPr>
        <w:t xml:space="preserve"> and Discussion</w:t>
      </w:r>
    </w:p>
    <w:p w14:paraId="1BEADDC9" w14:textId="77777777" w:rsidR="00BF17C5" w:rsidRDefault="00BF17C5" w:rsidP="008003AF">
      <w:pPr>
        <w:jc w:val="both"/>
        <w:rPr>
          <w:rFonts w:ascii="Book Antiqua" w:eastAsia="Book Antiqua" w:hAnsi="Book Antiqua" w:cs="Book Antiqua"/>
          <w:i/>
          <w:color w:val="000000" w:themeColor="text1"/>
          <w:sz w:val="20"/>
          <w:szCs w:val="20"/>
        </w:rPr>
      </w:pPr>
    </w:p>
    <w:p w14:paraId="0462280F" w14:textId="77777777" w:rsidR="006F655B" w:rsidRPr="003B6B59" w:rsidRDefault="00D03C5C" w:rsidP="008003AF">
      <w:pPr>
        <w:jc w:val="both"/>
        <w:rPr>
          <w:rFonts w:ascii="Book Antiqua" w:eastAsia="Book Antiqua" w:hAnsi="Book Antiqua" w:cs="Book Antiqua"/>
          <w:i/>
          <w:color w:val="000000" w:themeColor="text1"/>
          <w:sz w:val="20"/>
          <w:szCs w:val="20"/>
        </w:rPr>
      </w:pPr>
      <w:r w:rsidRPr="003B6B59">
        <w:rPr>
          <w:rFonts w:ascii="Book Antiqua" w:eastAsia="Book Antiqua" w:hAnsi="Book Antiqua" w:cs="Book Antiqua"/>
          <w:i/>
          <w:color w:val="000000" w:themeColor="text1"/>
          <w:sz w:val="20"/>
          <w:szCs w:val="20"/>
        </w:rPr>
        <w:t>Results</w:t>
      </w:r>
    </w:p>
    <w:p w14:paraId="44A77515" w14:textId="77777777" w:rsidR="00D03C5C" w:rsidRPr="003B6B59" w:rsidRDefault="00D03C5C" w:rsidP="00D03C5C">
      <w:pPr>
        <w:jc w:val="both"/>
        <w:rPr>
          <w:rFonts w:ascii="Book Antiqua" w:eastAsia="Book Antiqua" w:hAnsi="Book Antiqua" w:cs="Book Antiqua"/>
          <w:i/>
          <w:color w:val="000000" w:themeColor="text1"/>
          <w:sz w:val="20"/>
          <w:szCs w:val="20"/>
        </w:rPr>
      </w:pPr>
      <w:r w:rsidRPr="003B6B59">
        <w:rPr>
          <w:rFonts w:ascii="Book Antiqua" w:eastAsia="Book Antiqua" w:hAnsi="Book Antiqua" w:cs="Book Antiqua"/>
          <w:i/>
          <w:color w:val="000000" w:themeColor="text1"/>
          <w:sz w:val="20"/>
          <w:szCs w:val="20"/>
        </w:rPr>
        <w:t>Data Consistency Test</w:t>
      </w:r>
    </w:p>
    <w:p w14:paraId="674371DB" w14:textId="1C4B1D39" w:rsidR="0077631D" w:rsidRDefault="00D03C5C" w:rsidP="00BF17C5">
      <w:pPr>
        <w:ind w:firstLine="426"/>
        <w:jc w:val="both"/>
        <w:rPr>
          <w:rFonts w:ascii="Book Antiqua" w:eastAsia="Book Antiqua" w:hAnsi="Book Antiqua" w:cs="Book Antiqua"/>
          <w:sz w:val="20"/>
          <w:szCs w:val="20"/>
        </w:rPr>
      </w:pPr>
      <w:r w:rsidRPr="003638C8">
        <w:rPr>
          <w:rFonts w:ascii="Book Antiqua" w:eastAsia="Book Antiqua" w:hAnsi="Book Antiqua" w:cs="Book Antiqua"/>
          <w:sz w:val="20"/>
          <w:szCs w:val="20"/>
        </w:rPr>
        <w:t>Testing the consistency or reliability of rainfall data using the Double Mass Curve method, shows that rainfall data at most stations is homogeneous and consistent</w:t>
      </w:r>
      <w:r w:rsidR="00A20EEE">
        <w:rPr>
          <w:rFonts w:ascii="Book Antiqua" w:eastAsia="Book Antiqua" w:hAnsi="Book Antiqua" w:cs="Book Antiqua"/>
          <w:sz w:val="20"/>
          <w:szCs w:val="20"/>
        </w:rPr>
        <w:t xml:space="preserve"> </w:t>
      </w:r>
      <w:r w:rsidR="00211F9E" w:rsidRPr="003638C8">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10.33364/konstruksi/v.23-1.1881","author":[{"dropping-particle":"","family":"Ruspa","given":"Rena","non-dropping-particle":"","parse-names":false,"suffix":""},{"dropping-particle":"","family":"Permana","given":"Sulwan","non-dropping-particle":"","parse-names":false,"suffix":""},{"dropping-particle":"","family":"Hantari","given":"Anjas Ninda","non-dropping-particle":"","parse-names":false,"suffix":""}],"id":"ITEM-1","issued":{"date-parts":[["2025"]]},"page":"273-282","title":"Analisis Konsistensi Data Curah Hujan Terhadap Debit Andalan ( Studi Kasus : Bendung Leuwipeundeuy )","type":"article-journal"},"uris":["http://www.mendeley.com/documents/?uuid=0dcc6812-c358-4cd9-8775-83c4c70a3e93","http://www.mendeley.com/documents/?uuid=4f234d8f-a8eb-43bf-9733-968bc3e17dd6"]}],"mendeley":{"formattedCitation":"(Ruspa et al., 2025)","plainTextFormattedCitation":"(Ruspa et al., 2025)","previouslyFormattedCitation":"(Ruspa et al., 2025)"},"properties":{"noteIndex":0},"schema":"https://github.com/citation-style-language/schema/raw/master/csl-citation.json"}</w:instrText>
      </w:r>
      <w:r w:rsidR="00211F9E" w:rsidRPr="003638C8">
        <w:rPr>
          <w:rFonts w:ascii="Book Antiqua" w:eastAsia="Book Antiqua" w:hAnsi="Book Antiqua" w:cs="Book Antiqua"/>
          <w:sz w:val="20"/>
          <w:szCs w:val="20"/>
        </w:rPr>
        <w:fldChar w:fldCharType="separate"/>
      </w:r>
      <w:r w:rsidR="00D51CF0" w:rsidRPr="00D51CF0">
        <w:rPr>
          <w:rFonts w:ascii="Book Antiqua" w:eastAsia="Book Antiqua" w:hAnsi="Book Antiqua" w:cs="Book Antiqua"/>
          <w:noProof/>
          <w:sz w:val="20"/>
          <w:szCs w:val="20"/>
        </w:rPr>
        <w:t>(Ruspa et al., 2025)</w:t>
      </w:r>
      <w:r w:rsidR="00211F9E" w:rsidRPr="003638C8">
        <w:rPr>
          <w:rFonts w:ascii="Book Antiqua" w:eastAsia="Book Antiqua" w:hAnsi="Book Antiqua" w:cs="Book Antiqua"/>
          <w:sz w:val="20"/>
          <w:szCs w:val="20"/>
        </w:rPr>
        <w:fldChar w:fldCharType="end"/>
      </w:r>
      <w:r w:rsidR="000C5B76">
        <w:rPr>
          <w:rFonts w:ascii="Book Antiqua" w:eastAsia="Book Antiqua" w:hAnsi="Book Antiqua" w:cs="Book Antiqua"/>
          <w:sz w:val="20"/>
          <w:szCs w:val="20"/>
        </w:rPr>
        <w:t>.</w:t>
      </w:r>
      <w:r w:rsidR="00A20EEE">
        <w:rPr>
          <w:rFonts w:ascii="Book Antiqua" w:eastAsia="Book Antiqua" w:hAnsi="Book Antiqua" w:cs="Book Antiqua"/>
          <w:sz w:val="20"/>
          <w:szCs w:val="20"/>
        </w:rPr>
        <w:t xml:space="preserve"> </w:t>
      </w:r>
      <w:r w:rsidRPr="003638C8">
        <w:rPr>
          <w:rFonts w:ascii="Book Antiqua" w:eastAsia="Book Antiqua" w:hAnsi="Book Antiqua" w:cs="Book Antiqua"/>
          <w:sz w:val="20"/>
          <w:szCs w:val="20"/>
        </w:rPr>
        <w:t>The relationship graph between the cumulative rainfall of the test station and the reference station forms a linear pattern without significant changes in slope. Thus, the rainfall data is deemed suitable for use in Schmidt–Ferguson climate classification analysis</w:t>
      </w:r>
      <w:r w:rsidR="0024513D">
        <w:rPr>
          <w:rFonts w:ascii="Book Antiqua" w:eastAsia="Book Antiqua" w:hAnsi="Book Antiqua" w:cs="Book Antiqua"/>
          <w:sz w:val="20"/>
          <w:szCs w:val="20"/>
        </w:rPr>
        <w:t xml:space="preserve"> </w:t>
      </w:r>
      <w:r w:rsidR="0024513D">
        <w:rPr>
          <w:rFonts w:ascii="Book Antiqua" w:eastAsia="Book Antiqua" w:hAnsi="Book Antiqua" w:cs="Book Antiqua"/>
          <w:sz w:val="20"/>
          <w:szCs w:val="20"/>
        </w:rPr>
        <w:fldChar w:fldCharType="begin" w:fldLock="1"/>
      </w:r>
      <w:r w:rsidR="00D51CF0">
        <w:rPr>
          <w:rFonts w:ascii="Book Antiqua" w:eastAsia="Book Antiqua" w:hAnsi="Book Antiqua" w:cs="Book Antiqua"/>
          <w:sz w:val="20"/>
          <w:szCs w:val="20"/>
        </w:rPr>
        <w:instrText>ADDIN CSL_CITATION {"citationItems":[{"id":"ITEM-1","itemData":{"DOI":"10.3133/wsp1541B","ISBN":"Water-Supply Paper 1541-B","abstract":"The double- mass curve is used to check the consistency of many kinds of hydrologic data by comparing date for a single station with that of a pattern composed of the data from several other stations in the area. The double-mass curve can be used to adjust inconsistent precipitation data. The graph of the cumulative data of one variable versus the cumulative data of a related variable is a straight line so long as the relation between the variables is a fixed ratio. Breaks in the double-mass curve of such variables are caused by changes in the relation between the variables. These changes may be due to changes in the method of data collection or to physical changes that affect the relation. Applications of the double-mass curve to precipitation, streamflow, and sediment data, and to precipitation-runoff relations are described . A statistical test for significance of an apparent break in the slope of the double-mass curve is described by an example. Poor correlation between the variables can prevent detection of inconsistencies in a record, but an increase in the length of record tends to offset the effect of poor correlation. The residual-mass, curve which is a modification of the double-mass curve, magnifies imperceptible breaks in the double-mass curve for detailed study. Of the several methods of fitting a smooth curve to cyclic or periodic data, the moving-are method and the double-integration method deserve greater, use in hydrology. Both methods are described in the manual. The moving-arc method has general applicability, and the double integration methods is useful in fitting a curve to cycles of sinusoidal form.","author":[{"dropping-particle":"","family":"Searcy","given":"James K","non-dropping-particle":"","parse-names":false,"suffix":""},{"dropping-particle":"","family":"Hardison","given":"Clayton H","non-dropping-particle":"","parse-names":false,"suffix":""}],"container-title":"WaterSupply Paper 1541B","id":"ITEM-1","issued":{"date-parts":[["1960"]]},"page":"66","title":"Double-Mass Curves","type":"article-journal"},"uris":["http://www.mendeley.com/documents/?uuid=2add62c6-dedd-44d1-8985-d76892d53fc7"]}],"mendeley":{"formattedCitation":"(Searcy &amp; Hardison, 1960)","plainTextFormattedCitation":"(Searcy &amp; Hardison, 1960)","previouslyFormattedCitation":"(Searcy &amp; Hardison, 1960)"},"properties":{"noteIndex":0},"schema":"https://github.com/citation-style-language/schema/raw/master/csl-citation.json"}</w:instrText>
      </w:r>
      <w:r w:rsidR="0024513D">
        <w:rPr>
          <w:rFonts w:ascii="Book Antiqua" w:eastAsia="Book Antiqua" w:hAnsi="Book Antiqua" w:cs="Book Antiqua"/>
          <w:sz w:val="20"/>
          <w:szCs w:val="20"/>
        </w:rPr>
        <w:fldChar w:fldCharType="separate"/>
      </w:r>
      <w:r w:rsidR="00D51CF0" w:rsidRPr="00D51CF0">
        <w:rPr>
          <w:rFonts w:ascii="Book Antiqua" w:eastAsia="Book Antiqua" w:hAnsi="Book Antiqua" w:cs="Book Antiqua"/>
          <w:noProof/>
          <w:sz w:val="20"/>
          <w:szCs w:val="20"/>
        </w:rPr>
        <w:t>(Searcy &amp; Hardison, 1960)</w:t>
      </w:r>
      <w:r w:rsidR="0024513D">
        <w:rPr>
          <w:rFonts w:ascii="Book Antiqua" w:eastAsia="Book Antiqua" w:hAnsi="Book Antiqua" w:cs="Book Antiqua"/>
          <w:sz w:val="20"/>
          <w:szCs w:val="20"/>
        </w:rPr>
        <w:fldChar w:fldCharType="end"/>
      </w:r>
      <w:r w:rsidRPr="003638C8">
        <w:rPr>
          <w:rFonts w:ascii="Book Antiqua" w:eastAsia="Book Antiqua" w:hAnsi="Book Antiqua" w:cs="Book Antiqua"/>
          <w:sz w:val="20"/>
          <w:szCs w:val="20"/>
        </w:rPr>
        <w:t>.</w:t>
      </w:r>
    </w:p>
    <w:p w14:paraId="7AA831BE" w14:textId="77777777" w:rsidR="00BF17C5" w:rsidRPr="003638C8" w:rsidRDefault="00BF17C5" w:rsidP="00BF17C5">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 xml:space="preserve">A consistency test of rainfall data in North Gorontalo Regency </w:t>
      </w:r>
      <w:r w:rsidRPr="00BF17C5">
        <w:rPr>
          <w:rFonts w:ascii="Book Antiqua" w:eastAsia="Book Antiqua" w:hAnsi="Book Antiqua" w:cs="Book Antiqua"/>
          <w:sz w:val="20"/>
          <w:szCs w:val="20"/>
        </w:rPr>
        <w:t>using</w:t>
      </w:r>
      <w:r w:rsidRPr="003638C8">
        <w:rPr>
          <w:rFonts w:ascii="Book Antiqua" w:eastAsia="Book Antiqua" w:hAnsi="Book Antiqua" w:cs="Book Antiqua"/>
          <w:bCs/>
          <w:sz w:val="20"/>
          <w:szCs w:val="20"/>
        </w:rPr>
        <w:t xml:space="preserve"> the Double Mass Curve </w:t>
      </w:r>
      <w:r w:rsidRPr="003638C8">
        <w:rPr>
          <w:rFonts w:ascii="Book Antiqua" w:eastAsia="Book Antiqua" w:hAnsi="Book Antiqua" w:cs="Book Antiqua"/>
          <w:bCs/>
          <w:sz w:val="20"/>
          <w:szCs w:val="20"/>
        </w:rPr>
        <w:t>method revealed a very strong linear relationship. The graph formed a constant straight line up to an accumulation of 25,000 mm, indicating that the data was consistent and free from external interference, allowing for direct use without correction.</w:t>
      </w:r>
    </w:p>
    <w:p w14:paraId="137B45B0" w14:textId="77777777" w:rsidR="00BF17C5" w:rsidRDefault="00BF17C5">
      <w:pPr>
        <w:jc w:val="both"/>
        <w:rPr>
          <w:rFonts w:ascii="Book Antiqua" w:eastAsia="Book Antiqua" w:hAnsi="Book Antiqua" w:cs="Book Antiqua"/>
          <w:sz w:val="20"/>
          <w:szCs w:val="20"/>
        </w:rPr>
      </w:pPr>
    </w:p>
    <w:p w14:paraId="12C30914" w14:textId="5F40065A" w:rsidR="00BF17C5" w:rsidRPr="003638C8" w:rsidRDefault="00BF17C5">
      <w:pPr>
        <w:jc w:val="both"/>
        <w:rPr>
          <w:rFonts w:ascii="Book Antiqua" w:eastAsia="Book Antiqua" w:hAnsi="Book Antiqua" w:cs="Book Antiqua"/>
          <w:sz w:val="20"/>
          <w:szCs w:val="20"/>
        </w:rPr>
      </w:pPr>
      <w:r w:rsidRPr="003638C8">
        <w:rPr>
          <w:rFonts w:ascii="Book Antiqua" w:hAnsi="Book Antiqua"/>
          <w:noProof/>
        </w:rPr>
        <w:drawing>
          <wp:inline distT="0" distB="0" distL="0" distR="0" wp14:anchorId="36408C7A" wp14:editId="54CF5570">
            <wp:extent cx="3086100" cy="2038985"/>
            <wp:effectExtent l="0" t="0" r="0" b="18415"/>
            <wp:docPr id="1457783326" name="Bagan 1">
              <a:extLst xmlns:a="http://schemas.openxmlformats.org/drawingml/2006/main">
                <a:ext uri="{FF2B5EF4-FFF2-40B4-BE49-F238E27FC236}">
                  <a16:creationId xmlns:a16="http://schemas.microsoft.com/office/drawing/2014/main" id="{A9A48C89-2378-559A-2D69-C4EE278F2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F5249FB" w14:textId="0309EAFC" w:rsidR="002B74B3" w:rsidRDefault="002B74B3" w:rsidP="00BF17C5">
      <w:pPr>
        <w:jc w:val="center"/>
        <w:rPr>
          <w:rFonts w:ascii="Book Antiqua" w:eastAsia="Book Antiqua" w:hAnsi="Book Antiqua" w:cs="Book Antiqua"/>
          <w:bCs/>
          <w:sz w:val="18"/>
          <w:szCs w:val="18"/>
        </w:rPr>
      </w:pPr>
      <w:r w:rsidRPr="00EB214B">
        <w:rPr>
          <w:rFonts w:ascii="Book Antiqua" w:eastAsia="Book Antiqua" w:hAnsi="Book Antiqua" w:cs="Book Antiqua"/>
          <w:b/>
          <w:bCs/>
          <w:sz w:val="18"/>
          <w:szCs w:val="18"/>
        </w:rPr>
        <w:t xml:space="preserve">Figure </w:t>
      </w:r>
      <w:r w:rsidR="00D27F46">
        <w:rPr>
          <w:rFonts w:ascii="Book Antiqua" w:eastAsia="Book Antiqua" w:hAnsi="Book Antiqua" w:cs="Book Antiqua"/>
          <w:b/>
          <w:bCs/>
          <w:sz w:val="18"/>
          <w:szCs w:val="18"/>
        </w:rPr>
        <w:t>4</w:t>
      </w:r>
      <w:r>
        <w:rPr>
          <w:rFonts w:ascii="Book Antiqua" w:eastAsia="Book Antiqua" w:hAnsi="Book Antiqua" w:cs="Book Antiqua"/>
          <w:b/>
          <w:bCs/>
          <w:sz w:val="18"/>
          <w:szCs w:val="18"/>
        </w:rPr>
        <w:t>.</w:t>
      </w:r>
      <w:r w:rsidRPr="00EB214B">
        <w:rPr>
          <w:rFonts w:ascii="Book Antiqua" w:eastAsia="Book Antiqua" w:hAnsi="Book Antiqua" w:cs="Book Antiqua"/>
          <w:b/>
          <w:bCs/>
          <w:sz w:val="18"/>
          <w:szCs w:val="18"/>
        </w:rPr>
        <w:t xml:space="preserve"> </w:t>
      </w:r>
      <w:r w:rsidRPr="00EB214B">
        <w:rPr>
          <w:rFonts w:ascii="Book Antiqua" w:eastAsia="Book Antiqua" w:hAnsi="Book Antiqua" w:cs="Book Antiqua"/>
          <w:bCs/>
          <w:sz w:val="18"/>
          <w:szCs w:val="18"/>
        </w:rPr>
        <w:t>Consistency test of rainfall data in North Gorontalo Regency</w:t>
      </w:r>
    </w:p>
    <w:p w14:paraId="4144333F" w14:textId="77777777" w:rsidR="00AE58EA" w:rsidRPr="00AE58EA" w:rsidRDefault="00AE58EA" w:rsidP="00BF17C5">
      <w:pPr>
        <w:jc w:val="center"/>
        <w:rPr>
          <w:rFonts w:ascii="Book Antiqua" w:eastAsia="Book Antiqua" w:hAnsi="Book Antiqua" w:cs="Book Antiqua"/>
          <w:bCs/>
          <w:sz w:val="20"/>
          <w:szCs w:val="18"/>
        </w:rPr>
      </w:pPr>
    </w:p>
    <w:p w14:paraId="70616709" w14:textId="77777777" w:rsidR="00AE58EA" w:rsidRDefault="00D2732B" w:rsidP="00AE58EA">
      <w:pPr>
        <w:ind w:firstLine="426"/>
        <w:jc w:val="both"/>
        <w:rPr>
          <w:rFonts w:ascii="Book Antiqua" w:eastAsia="Book Antiqua" w:hAnsi="Book Antiqua" w:cs="Book Antiqua"/>
          <w:sz w:val="20"/>
          <w:szCs w:val="20"/>
        </w:rPr>
      </w:pPr>
      <w:r w:rsidRPr="00AE58EA">
        <w:rPr>
          <w:rFonts w:ascii="Book Antiqua" w:eastAsia="Book Antiqua" w:hAnsi="Book Antiqua" w:cs="Book Antiqua"/>
          <w:sz w:val="20"/>
          <w:szCs w:val="20"/>
        </w:rPr>
        <w:t>These results confirm the findings</w:t>
      </w:r>
      <w:r w:rsidR="002A1277" w:rsidRPr="00AE58EA">
        <w:rPr>
          <w:rFonts w:ascii="Book Antiqua" w:eastAsia="Book Antiqua" w:hAnsi="Book Antiqua" w:cs="Book Antiqua"/>
          <w:sz w:val="20"/>
          <w:szCs w:val="20"/>
        </w:rPr>
        <w:t xml:space="preserve"> </w:t>
      </w:r>
      <w:r w:rsidRPr="00AE58EA">
        <w:rPr>
          <w:rFonts w:ascii="Book Antiqua" w:eastAsia="Book Antiqua" w:hAnsi="Book Antiqua" w:cs="Book Antiqua"/>
          <w:sz w:val="20"/>
          <w:szCs w:val="20"/>
        </w:rPr>
        <w:fldChar w:fldCharType="begin" w:fldLock="1"/>
      </w:r>
      <w:r w:rsidR="00D51CF0" w:rsidRPr="00AE58EA">
        <w:rPr>
          <w:rFonts w:ascii="Book Antiqua" w:eastAsia="Book Antiqua" w:hAnsi="Book Antiqua" w:cs="Book Antiqua"/>
          <w:sz w:val="20"/>
          <w:szCs w:val="20"/>
        </w:rPr>
        <w:instrText>ADDIN CSL_CITATION {"citationItems":[{"id":"ITEM-1","itemData":{"DOI":"10.5614/j.eng.technol.sci.2016.48.3.4","author":[{"dropping-particle":"","family":"Subehi","given":"Luki","non-dropping-particle":"","parse-names":false,"suffix":""},{"dropping-particle":"","family":"Wibowo","given":"Hendro","non-dropping-particle":"","parse-names":false,"suffix":""},{"dropping-particle":"","family":"Jung","given":"Kwansue","non-dropping-particle":"","parse-names":false,"suffix":""}],"id":"ITEM-1","issue":"3","issued":{"date-parts":[["2016"]]},"page":"288-300","title":"Characteristics of Rainfall-Discharge and Water Quality at Limboto Lake , Gorontalo , Indonesia","type":"article-journal","volume":"48"},"uris":["http://www.mendeley.com/documents/?uuid=11757a4e-7182-4dbb-b04a-7123c6392583","http://www.mendeley.com/documents/?uuid=7129c665-7180-45b1-83bb-98db1c934230"]}],"mendeley":{"formattedCitation":"(Subehi et al., 2016)","plainTextFormattedCitation":"(Subehi et al., 2016)","previouslyFormattedCitation":"(Subehi et al., 2016)"},"properties":{"noteIndex":0},"schema":"https://github.com/citation-style-language/schema/raw/master/csl-citation.json"}</w:instrText>
      </w:r>
      <w:r w:rsidRPr="00AE58EA">
        <w:rPr>
          <w:rFonts w:ascii="Book Antiqua" w:eastAsia="Book Antiqua" w:hAnsi="Book Antiqua" w:cs="Book Antiqua"/>
          <w:sz w:val="20"/>
          <w:szCs w:val="20"/>
        </w:rPr>
        <w:fldChar w:fldCharType="separate"/>
      </w:r>
      <w:r w:rsidR="00D51CF0" w:rsidRPr="00AE58EA">
        <w:rPr>
          <w:rFonts w:ascii="Book Antiqua" w:eastAsia="Book Antiqua" w:hAnsi="Book Antiqua" w:cs="Book Antiqua"/>
          <w:sz w:val="20"/>
          <w:szCs w:val="20"/>
        </w:rPr>
        <w:t>(Subehi et al., 2016)</w:t>
      </w:r>
      <w:r w:rsidRPr="00AE58EA">
        <w:rPr>
          <w:rFonts w:ascii="Book Antiqua" w:eastAsia="Book Antiqua" w:hAnsi="Book Antiqua" w:cs="Book Antiqua"/>
          <w:sz w:val="20"/>
          <w:szCs w:val="20"/>
        </w:rPr>
        <w:fldChar w:fldCharType="end"/>
      </w:r>
      <w:r w:rsidR="00AE58EA">
        <w:rPr>
          <w:rFonts w:ascii="Book Antiqua" w:eastAsia="Book Antiqua" w:hAnsi="Book Antiqua" w:cs="Book Antiqua"/>
          <w:sz w:val="20"/>
          <w:szCs w:val="20"/>
        </w:rPr>
        <w:t xml:space="preserve">. </w:t>
      </w:r>
      <w:r w:rsidRPr="00AE58EA">
        <w:rPr>
          <w:rFonts w:ascii="Book Antiqua" w:eastAsia="Book Antiqua" w:hAnsi="Book Antiqua" w:cs="Book Antiqua"/>
          <w:sz w:val="20"/>
          <w:szCs w:val="20"/>
        </w:rPr>
        <w:t>This study examines the characteristics of precipitation in Gorontalo, highlighting the important role of local dynamics and watershed interactions on rainfall distribution patterns. Given these influences, data consistency testing is a vital step in ensuring the accuracy of hydrological analyses, such as flood discharge estimation. The absence of deviations in the dual mass curve (DMC) in this study confirms the reliability of the data used for water resource modeling in North</w:t>
      </w:r>
      <w:r w:rsidR="002A1277" w:rsidRPr="00AE58EA">
        <w:rPr>
          <w:rFonts w:ascii="Book Antiqua" w:eastAsia="Book Antiqua" w:hAnsi="Book Antiqua" w:cs="Book Antiqua"/>
          <w:sz w:val="20"/>
          <w:szCs w:val="20"/>
        </w:rPr>
        <w:t xml:space="preserve"> </w:t>
      </w:r>
      <w:r w:rsidRPr="00AE58EA">
        <w:rPr>
          <w:rFonts w:ascii="Book Antiqua" w:eastAsia="Book Antiqua" w:hAnsi="Book Antiqua" w:cs="Book Antiqua"/>
          <w:sz w:val="20"/>
          <w:szCs w:val="20"/>
        </w:rPr>
        <w:t>Gorontalo.</w:t>
      </w:r>
    </w:p>
    <w:p w14:paraId="16A36668" w14:textId="0F2166EE" w:rsidR="00D2732B" w:rsidRPr="00AE58EA" w:rsidRDefault="00D2732B" w:rsidP="00AE58EA">
      <w:pPr>
        <w:ind w:firstLine="426"/>
        <w:jc w:val="both"/>
        <w:rPr>
          <w:rFonts w:ascii="Book Antiqua" w:eastAsia="Book Antiqua" w:hAnsi="Book Antiqua" w:cs="Book Antiqua"/>
          <w:sz w:val="20"/>
          <w:szCs w:val="20"/>
        </w:rPr>
      </w:pPr>
      <w:r w:rsidRPr="003638C8">
        <w:rPr>
          <w:rFonts w:ascii="Book Antiqua" w:eastAsia="Book Antiqua" w:hAnsi="Book Antiqua" w:cs="Book Antiqua"/>
          <w:bCs/>
          <w:sz w:val="20"/>
          <w:szCs w:val="20"/>
        </w:rPr>
        <w:t>Meanwhile, Research from</w:t>
      </w:r>
      <w:r w:rsidR="002A1277">
        <w:rPr>
          <w:rFonts w:ascii="Book Antiqua" w:eastAsia="Book Antiqua" w:hAnsi="Book Antiqua" w:cs="Book Antiqua"/>
          <w:bCs/>
          <w:sz w:val="20"/>
          <w:szCs w:val="20"/>
        </w:rPr>
        <w:t xml:space="preserve"> </w:t>
      </w:r>
      <w:r w:rsidR="002B0BC9"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10.1016/j.jhydrol.2014.11.042","ISSN":"0022-1694","author":[{"dropping-particle":"","family":"Korres","given":"W","non-dropping-particle":"","parse-names":false,"suffix":""},{"dropping-particle":"","family":"Reichenau","given":"T G","non-dropping-particle":"","parse-names":false,"suffix":""},{"dropping-particle":"","family":"Fiener","given":"P","non-dropping-particle":"","parse-names":false,"suffix":""},{"dropping-particle":"","family":"Koyama","given":"C N","non-dropping-particle":"","parse-names":false,"suffix":""},{"dropping-particle":"","family":"Bogena","given":"H R","non-dropping-particle":"","parse-names":false,"suffix":""},{"dropping-particle":"","family":"Cornelissen","given":"T","non-dropping-particle":"","parse-names":false,"suffix":""},{"dropping-particle":"","family":"Baatz","given":"R","non-dropping-particle":"","parse-names":false,"suffix":""},{"dropping-particle":"","family":"Herbst","given":"M","non-dropping-particle":"","parse-names":false,"suffix":""},{"dropping-particle":"","family":"Diekkrüger","given":"B","non-dropping-particle":"","parse-names":false,"suffix":""},{"dropping-particle":"","family":"Vereecken","given":"H","non-dropping-particle":"","parse-names":false,"suffix":""},{"dropping-particle":"","family":"Schneider","given":"K","non-dropping-particle":"","parse-names":false,"suffix":""}],"container-title":"JOURNAL OF HYDROLOGY","id":"ITEM-1","issued":{"date-parts":[["2021"]]},"page":"326-341","publisher":"Elsevier B.V.","title":"Spatio-temporal soil moisture patterns – A meta-analysis using plot to catchment scale data","type":"article-journal","volume":"520"},"uris":["http://www.mendeley.com/documents/?uuid=04816d10-0d25-4c56-924f-8399122817fc","http://www.mendeley.com/documents/?uuid=8a6a4808-44b1-4d30-928d-6bff6cf7f9a6"]}],"mendeley":{"formattedCitation":"(Korres et al., 2021)","plainTextFormattedCitation":"(Korres et al., 2021)","previouslyFormattedCitation":"(Korres et al., 2021)"},"properties":{"noteIndex":0},"schema":"https://github.com/citation-style-language/schema/raw/master/csl-citation.json"}</w:instrText>
      </w:r>
      <w:r w:rsidR="002B0BC9" w:rsidRPr="003638C8">
        <w:rPr>
          <w:rFonts w:ascii="Book Antiqua" w:eastAsia="Book Antiqua" w:hAnsi="Book Antiqua" w:cs="Book Antiqua"/>
          <w:bCs/>
          <w:sz w:val="20"/>
          <w:szCs w:val="20"/>
        </w:rPr>
        <w:fldChar w:fldCharType="separate"/>
      </w:r>
      <w:r w:rsidR="00AE58EA">
        <w:rPr>
          <w:rFonts w:ascii="Book Antiqua" w:eastAsia="Book Antiqua" w:hAnsi="Book Antiqua" w:cs="Book Antiqua"/>
          <w:bCs/>
          <w:noProof/>
          <w:sz w:val="20"/>
          <w:szCs w:val="20"/>
        </w:rPr>
        <w:t>Korres et al.</w:t>
      </w:r>
      <w:r w:rsidR="00D51CF0" w:rsidRPr="00D51CF0">
        <w:rPr>
          <w:rFonts w:ascii="Book Antiqua" w:eastAsia="Book Antiqua" w:hAnsi="Book Antiqua" w:cs="Book Antiqua"/>
          <w:bCs/>
          <w:noProof/>
          <w:sz w:val="20"/>
          <w:szCs w:val="20"/>
        </w:rPr>
        <w:t xml:space="preserve"> </w:t>
      </w:r>
      <w:r w:rsidR="00AE58EA">
        <w:rPr>
          <w:rFonts w:ascii="Book Antiqua" w:eastAsia="Book Antiqua" w:hAnsi="Book Antiqua" w:cs="Book Antiqua"/>
          <w:bCs/>
          <w:noProof/>
          <w:sz w:val="20"/>
          <w:szCs w:val="20"/>
        </w:rPr>
        <w:t>(</w:t>
      </w:r>
      <w:r w:rsidR="00D51CF0" w:rsidRPr="00D51CF0">
        <w:rPr>
          <w:rFonts w:ascii="Book Antiqua" w:eastAsia="Book Antiqua" w:hAnsi="Book Antiqua" w:cs="Book Antiqua"/>
          <w:bCs/>
          <w:noProof/>
          <w:sz w:val="20"/>
          <w:szCs w:val="20"/>
        </w:rPr>
        <w:t>2021)</w:t>
      </w:r>
      <w:r w:rsidR="002B0BC9" w:rsidRPr="003638C8">
        <w:rPr>
          <w:rFonts w:ascii="Book Antiqua" w:eastAsia="Book Antiqua" w:hAnsi="Book Antiqua" w:cs="Book Antiqua"/>
          <w:bCs/>
          <w:sz w:val="20"/>
          <w:szCs w:val="20"/>
        </w:rPr>
        <w:fldChar w:fldCharType="end"/>
      </w:r>
      <w:r w:rsidR="00AE58EA">
        <w:rPr>
          <w:rFonts w:ascii="Book Antiqua" w:eastAsia="Book Antiqua" w:hAnsi="Book Antiqua" w:cs="Book Antiqua"/>
          <w:bCs/>
          <w:sz w:val="20"/>
          <w:szCs w:val="20"/>
        </w:rPr>
        <w:t>.</w:t>
      </w:r>
      <w:r w:rsidR="002A1277">
        <w:rPr>
          <w:rFonts w:ascii="Book Antiqua" w:eastAsia="Book Antiqua" w:hAnsi="Book Antiqua" w:cs="Book Antiqua"/>
          <w:bCs/>
          <w:sz w:val="20"/>
          <w:szCs w:val="20"/>
        </w:rPr>
        <w:t xml:space="preserve"> </w:t>
      </w:r>
      <w:r w:rsidR="002B0BC9" w:rsidRPr="003638C8">
        <w:rPr>
          <w:rFonts w:ascii="Book Antiqua" w:eastAsia="Book Antiqua" w:hAnsi="Book Antiqua" w:cs="Book Antiqua"/>
          <w:bCs/>
          <w:sz w:val="20"/>
          <w:szCs w:val="20"/>
        </w:rPr>
        <w:t xml:space="preserve">This often highlights that DMC is subjective and highly dependent on the choice of reference station. If the reference station is also unstable, then the linearity results at the test station can be "pseudo" </w:t>
      </w:r>
      <w:proofErr w:type="spellStart"/>
      <w:r w:rsidR="002B0BC9" w:rsidRPr="003638C8">
        <w:rPr>
          <w:rFonts w:ascii="Book Antiqua" w:eastAsia="Book Antiqua" w:hAnsi="Book Antiqua" w:cs="Book Antiqua"/>
          <w:bCs/>
          <w:sz w:val="20"/>
          <w:szCs w:val="20"/>
        </w:rPr>
        <w:t>or</w:t>
      </w:r>
      <w:r w:rsidRPr="003638C8">
        <w:rPr>
          <w:rFonts w:ascii="Book Antiqua" w:eastAsia="Book Antiqua" w:hAnsi="Book Antiqua" w:cs="Book Antiqua"/>
          <w:bCs/>
          <w:sz w:val="20"/>
          <w:szCs w:val="20"/>
        </w:rPr>
        <w:t>misleading</w:t>
      </w:r>
      <w:proofErr w:type="spellEnd"/>
      <w:r w:rsidRPr="003638C8">
        <w:rPr>
          <w:rFonts w:ascii="Book Antiqua" w:eastAsia="Book Antiqua" w:hAnsi="Book Antiqua" w:cs="Book Antiqua"/>
          <w:bCs/>
          <w:sz w:val="20"/>
          <w:szCs w:val="20"/>
        </w:rPr>
        <w:t>.</w:t>
      </w:r>
    </w:p>
    <w:p w14:paraId="5AF63189" w14:textId="77777777" w:rsidR="00AE58EA" w:rsidRDefault="00AE58EA" w:rsidP="00D547BC">
      <w:pPr>
        <w:jc w:val="both"/>
        <w:rPr>
          <w:rFonts w:ascii="Book Antiqua" w:eastAsia="Book Antiqua" w:hAnsi="Book Antiqua" w:cs="Book Antiqua"/>
          <w:bCs/>
          <w:sz w:val="20"/>
          <w:szCs w:val="20"/>
        </w:rPr>
      </w:pPr>
    </w:p>
    <w:p w14:paraId="258F5030" w14:textId="06041A88" w:rsidR="00AE58EA" w:rsidRPr="003638C8" w:rsidRDefault="00AE58EA" w:rsidP="00D547BC">
      <w:pPr>
        <w:jc w:val="both"/>
        <w:rPr>
          <w:rFonts w:ascii="Book Antiqua" w:eastAsia="Book Antiqua" w:hAnsi="Book Antiqua" w:cs="Book Antiqua"/>
          <w:bCs/>
          <w:sz w:val="20"/>
          <w:szCs w:val="20"/>
        </w:rPr>
      </w:pPr>
      <w:r w:rsidRPr="003638C8">
        <w:rPr>
          <w:rFonts w:ascii="Book Antiqua" w:hAnsi="Book Antiqua"/>
          <w:noProof/>
        </w:rPr>
        <w:drawing>
          <wp:inline distT="0" distB="0" distL="0" distR="0" wp14:anchorId="667A85C2" wp14:editId="112A0546">
            <wp:extent cx="3114675" cy="1901190"/>
            <wp:effectExtent l="0" t="0" r="9525" b="3810"/>
            <wp:docPr id="243521898" name="Bagan 1">
              <a:extLst xmlns:a="http://schemas.openxmlformats.org/drawingml/2006/main">
                <a:ext uri="{FF2B5EF4-FFF2-40B4-BE49-F238E27FC236}">
                  <a16:creationId xmlns:a16="http://schemas.microsoft.com/office/drawing/2014/main" id="{89A3CCF9-DC01-5BE2-D670-1C49800F0F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59C6BCA" w14:textId="4419328B" w:rsidR="00296A49" w:rsidRDefault="00EB214B" w:rsidP="00AE58EA">
      <w:pPr>
        <w:jc w:val="center"/>
        <w:rPr>
          <w:rFonts w:ascii="Book Antiqua" w:eastAsia="Book Antiqua" w:hAnsi="Book Antiqua" w:cs="Book Antiqua"/>
          <w:bCs/>
          <w:sz w:val="18"/>
          <w:szCs w:val="18"/>
        </w:rPr>
      </w:pPr>
      <w:r w:rsidRPr="00EB214B">
        <w:rPr>
          <w:rFonts w:ascii="Book Antiqua" w:eastAsia="Book Antiqua" w:hAnsi="Book Antiqua" w:cs="Book Antiqua"/>
          <w:b/>
          <w:bCs/>
          <w:sz w:val="18"/>
          <w:szCs w:val="18"/>
        </w:rPr>
        <w:t>Figure</w:t>
      </w:r>
      <w:r>
        <w:rPr>
          <w:rFonts w:ascii="Book Antiqua" w:eastAsia="Book Antiqua" w:hAnsi="Book Antiqua" w:cs="Book Antiqua"/>
          <w:b/>
          <w:bCs/>
          <w:sz w:val="18"/>
          <w:szCs w:val="18"/>
        </w:rPr>
        <w:t xml:space="preserve"> </w:t>
      </w:r>
      <w:r w:rsidR="00D27F46">
        <w:rPr>
          <w:rFonts w:ascii="Book Antiqua" w:eastAsia="Book Antiqua" w:hAnsi="Book Antiqua" w:cs="Book Antiqua"/>
          <w:b/>
          <w:bCs/>
          <w:sz w:val="18"/>
          <w:szCs w:val="18"/>
        </w:rPr>
        <w:t>5</w:t>
      </w:r>
      <w:r w:rsidR="00E3577A" w:rsidRPr="00EB214B">
        <w:rPr>
          <w:rFonts w:ascii="Book Antiqua" w:eastAsia="Book Antiqua" w:hAnsi="Book Antiqua" w:cs="Book Antiqua"/>
          <w:bCs/>
          <w:sz w:val="18"/>
          <w:szCs w:val="18"/>
        </w:rPr>
        <w:t>. Consistency test of rainfall data in Gorontalo Regency</w:t>
      </w:r>
    </w:p>
    <w:p w14:paraId="4827504E" w14:textId="77777777" w:rsidR="00AE58EA" w:rsidRPr="00EB214B" w:rsidRDefault="00AE58EA" w:rsidP="00AE58EA">
      <w:pPr>
        <w:jc w:val="center"/>
        <w:rPr>
          <w:rFonts w:ascii="Book Antiqua" w:eastAsia="Book Antiqua" w:hAnsi="Book Antiqua" w:cs="Book Antiqua"/>
          <w:bCs/>
          <w:sz w:val="18"/>
          <w:szCs w:val="18"/>
        </w:rPr>
      </w:pPr>
    </w:p>
    <w:p w14:paraId="462D8203" w14:textId="77777777" w:rsidR="00AE58EA" w:rsidRDefault="00C1355C" w:rsidP="00AE58EA">
      <w:pPr>
        <w:ind w:firstLine="426"/>
        <w:jc w:val="both"/>
        <w:rPr>
          <w:rFonts w:ascii="Book Antiqua" w:eastAsia="Book Antiqua" w:hAnsi="Book Antiqua" w:cs="Book Antiqua"/>
          <w:sz w:val="20"/>
          <w:szCs w:val="20"/>
        </w:rPr>
      </w:pPr>
      <w:r w:rsidRPr="00AE58EA">
        <w:rPr>
          <w:rFonts w:ascii="Book Antiqua" w:eastAsia="Book Antiqua" w:hAnsi="Book Antiqua" w:cs="Book Antiqua"/>
          <w:sz w:val="20"/>
          <w:szCs w:val="20"/>
        </w:rPr>
        <w:lastRenderedPageBreak/>
        <w:t>The consistency test of the Double Mass Curve method in Gorontalo Regency demonstrated a very strong linear relationship between the test and reference stations. The graph formed a constant straight line up to accumulations above 18,000 mm, indicating that the data were homogeneous and free from non-climatic interference. Thus, the data were deemed reliable for further hydrological analyses such as water balance and flood control, while also confirming the spatial uniformity of rainfall patterns</w:t>
      </w:r>
      <w:r w:rsidR="002A1277" w:rsidRPr="00AE58EA">
        <w:rPr>
          <w:rFonts w:ascii="Book Antiqua" w:eastAsia="Book Antiqua" w:hAnsi="Book Antiqua" w:cs="Book Antiqua"/>
          <w:sz w:val="20"/>
          <w:szCs w:val="20"/>
        </w:rPr>
        <w:t xml:space="preserve"> </w:t>
      </w:r>
      <w:r w:rsidR="0000172F" w:rsidRPr="00AE58EA">
        <w:rPr>
          <w:rFonts w:ascii="Book Antiqua" w:eastAsia="Book Antiqua" w:hAnsi="Book Antiqua" w:cs="Book Antiqua"/>
          <w:sz w:val="20"/>
          <w:szCs w:val="20"/>
        </w:rPr>
        <w:fldChar w:fldCharType="begin" w:fldLock="1"/>
      </w:r>
      <w:r w:rsidR="00D51CF0" w:rsidRPr="00AE58EA">
        <w:rPr>
          <w:rFonts w:ascii="Book Antiqua" w:eastAsia="Book Antiqua" w:hAnsi="Book Antiqua" w:cs="Book Antiqua"/>
          <w:sz w:val="20"/>
          <w:szCs w:val="20"/>
        </w:rPr>
        <w:instrText>ADDIN CSL_CITATION {"citationItems":[{"id":"ITEM-1","itemData":{"DOI":"https://doi.org/10.3390/hydrology10070154","author":[{"dropping-particle":"","family":"Sriwongsitanon","given":"Nutchanart","non-dropping-particle":"","parse-names":false,"suffix":""},{"dropping-particle":"","family":"Kaprom","given":"Chanphit","non-dropping-particle":"","parse-names":false,"suffix":""},{"dropping-particle":"","family":"Tantisuvanichkul","given":"Kamonpat","non-dropping-particle":"","parse-names":false,"suffix":""},{"dropping-particle":"","family":"Prasertthonggorn","given":"Nattakorn","non-dropping-particle":"","parse-names":false,"suffix":""}],"id":"ITEM-1","issued":{"date-parts":[["2023"]]},"title":"The Combined Power of Double Mass Curves and Bias Correction for the Maximisation of the Accuracy of an Ensemble Satellite-Based Precipitation Estimate Product","type":"article-journal"},"uris":["http://www.mendeley.com/documents/?uuid=8754ab99-c712-4eb2-b21c-79a7aaf2b1c3","http://www.mendeley.com/documents/?uuid=43a13296-a058-42ff-8d3f-a92554235be2"]}],"mendeley":{"formattedCitation":"(Sriwongsitanon et al., 2023)","plainTextFormattedCitation":"(Sriwongsitanon et al., 2023)","previouslyFormattedCitation":"(Sriwongsitanon et al., 2023)"},"properties":{"noteIndex":0},"schema":"https://github.com/citation-style-language/schema/raw/master/csl-citation.json"}</w:instrText>
      </w:r>
      <w:r w:rsidR="0000172F" w:rsidRPr="00AE58EA">
        <w:rPr>
          <w:rFonts w:ascii="Book Antiqua" w:eastAsia="Book Antiqua" w:hAnsi="Book Antiqua" w:cs="Book Antiqua"/>
          <w:sz w:val="20"/>
          <w:szCs w:val="20"/>
        </w:rPr>
        <w:fldChar w:fldCharType="separate"/>
      </w:r>
      <w:r w:rsidR="00D51CF0" w:rsidRPr="00AE58EA">
        <w:rPr>
          <w:rFonts w:ascii="Book Antiqua" w:eastAsia="Book Antiqua" w:hAnsi="Book Antiqua" w:cs="Book Antiqua"/>
          <w:sz w:val="20"/>
          <w:szCs w:val="20"/>
        </w:rPr>
        <w:t>(Sriwongsitanon et al., 2023)</w:t>
      </w:r>
      <w:r w:rsidR="0000172F" w:rsidRPr="00AE58EA">
        <w:rPr>
          <w:rFonts w:ascii="Book Antiqua" w:eastAsia="Book Antiqua" w:hAnsi="Book Antiqua" w:cs="Book Antiqua"/>
          <w:sz w:val="20"/>
          <w:szCs w:val="20"/>
        </w:rPr>
        <w:fldChar w:fldCharType="end"/>
      </w:r>
      <w:r w:rsidR="00AE58EA">
        <w:rPr>
          <w:rFonts w:ascii="Book Antiqua" w:eastAsia="Book Antiqua" w:hAnsi="Book Antiqua" w:cs="Book Antiqua"/>
          <w:sz w:val="20"/>
          <w:szCs w:val="20"/>
        </w:rPr>
        <w:t>.</w:t>
      </w:r>
    </w:p>
    <w:p w14:paraId="27D0B221" w14:textId="77777777" w:rsidR="00AE58EA" w:rsidRDefault="00EF4465" w:rsidP="00AE58EA">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This research is in line with</w:t>
      </w:r>
      <w:r w:rsidR="002A1277">
        <w:rPr>
          <w:rFonts w:ascii="Book Antiqua" w:eastAsia="Book Antiqua" w:hAnsi="Book Antiqua" w:cs="Book Antiqua"/>
          <w:bCs/>
          <w:sz w:val="20"/>
          <w:szCs w:val="20"/>
        </w:rPr>
        <w:t xml:space="preserve"> </w:t>
      </w:r>
      <w:r w:rsidR="00391AFD"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10.1016/j.jhydrol.2014.11.042","ISSN":"0022-1694","author":[{"dropping-particle":"","family":"Korres","given":"W","non-dropping-particle":"","parse-names":false,"suffix":""},{"dropping-particle":"","family":"Reichenau","given":"T G","non-dropping-particle":"","parse-names":false,"suffix":""},{"dropping-particle":"","family":"Fiener","given":"P","non-dropping-particle":"","parse-names":false,"suffix":""},{"dropping-particle":"","family":"Koyama","given":"C N","non-dropping-particle":"","parse-names":false,"suffix":""},{"dropping-particle":"","family":"Bogena","given":"H R","non-dropping-particle":"","parse-names":false,"suffix":""},{"dropping-particle":"","family":"Cornelissen","given":"T","non-dropping-particle":"","parse-names":false,"suffix":""},{"dropping-particle":"","family":"Baatz","given":"R","non-dropping-particle":"","parse-names":false,"suffix":""},{"dropping-particle":"","family":"Herbst","given":"M","non-dropping-particle":"","parse-names":false,"suffix":""},{"dropping-particle":"","family":"Diekkrüger","given":"B","non-dropping-particle":"","parse-names":false,"suffix":""},{"dropping-particle":"","family":"Vereecken","given":"H","non-dropping-particle":"","parse-names":false,"suffix":""},{"dropping-particle":"","family":"Schneider","given":"K","non-dropping-particle":"","parse-names":false,"suffix":""}],"container-title":"JOURNAL OF HYDROLOGY","id":"ITEM-1","issued":{"date-parts":[["2021"]]},"page":"326-341","publisher":"Elsevier B.V.","title":"Spatio-temporal soil moisture patterns – A meta-analysis using plot to catchment scale data","type":"article-journal","volume":"520"},"uris":["http://www.mendeley.com/documents/?uuid=8a6a4808-44b1-4d30-928d-6bff6cf7f9a6","http://www.mendeley.com/documents/?uuid=04816d10-0d25-4c56-924f-8399122817fc"]}],"mendeley":{"formattedCitation":"(Korres et al., 2021)","plainTextFormattedCitation":"(Korres et al., 2021)","previouslyFormattedCitation":"(Korres et al., 2021)"},"properties":{"noteIndex":0},"schema":"https://github.com/citation-style-language/schema/raw/master/csl-citation.json"}</w:instrText>
      </w:r>
      <w:r w:rsidR="00391AFD" w:rsidRPr="003638C8">
        <w:rPr>
          <w:rFonts w:ascii="Book Antiqua" w:eastAsia="Book Antiqua" w:hAnsi="Book Antiqua" w:cs="Book Antiqua"/>
          <w:bCs/>
          <w:sz w:val="20"/>
          <w:szCs w:val="20"/>
        </w:rPr>
        <w:fldChar w:fldCharType="separate"/>
      </w:r>
      <w:r w:rsidR="00AE58EA">
        <w:rPr>
          <w:rFonts w:ascii="Book Antiqua" w:eastAsia="Book Antiqua" w:hAnsi="Book Antiqua" w:cs="Book Antiqua"/>
          <w:bCs/>
          <w:noProof/>
          <w:sz w:val="20"/>
          <w:szCs w:val="20"/>
        </w:rPr>
        <w:t>Korres et al.</w:t>
      </w:r>
      <w:r w:rsidR="00D51CF0" w:rsidRPr="00D51CF0">
        <w:rPr>
          <w:rFonts w:ascii="Book Antiqua" w:eastAsia="Book Antiqua" w:hAnsi="Book Antiqua" w:cs="Book Antiqua"/>
          <w:bCs/>
          <w:noProof/>
          <w:sz w:val="20"/>
          <w:szCs w:val="20"/>
        </w:rPr>
        <w:t xml:space="preserve"> </w:t>
      </w:r>
      <w:r w:rsidR="00AE58EA">
        <w:rPr>
          <w:rFonts w:ascii="Book Antiqua" w:eastAsia="Book Antiqua" w:hAnsi="Book Antiqua" w:cs="Book Antiqua"/>
          <w:bCs/>
          <w:noProof/>
          <w:sz w:val="20"/>
          <w:szCs w:val="20"/>
        </w:rPr>
        <w:t>(</w:t>
      </w:r>
      <w:r w:rsidR="00D51CF0" w:rsidRPr="00D51CF0">
        <w:rPr>
          <w:rFonts w:ascii="Book Antiqua" w:eastAsia="Book Antiqua" w:hAnsi="Book Antiqua" w:cs="Book Antiqua"/>
          <w:bCs/>
          <w:noProof/>
          <w:sz w:val="20"/>
          <w:szCs w:val="20"/>
        </w:rPr>
        <w:t>2021)</w:t>
      </w:r>
      <w:r w:rsidR="00391AFD" w:rsidRPr="003638C8">
        <w:rPr>
          <w:rFonts w:ascii="Book Antiqua" w:eastAsia="Book Antiqua" w:hAnsi="Book Antiqua" w:cs="Book Antiqua"/>
          <w:bCs/>
          <w:sz w:val="20"/>
          <w:szCs w:val="20"/>
        </w:rPr>
        <w:fldChar w:fldCharType="end"/>
      </w:r>
      <w:r w:rsidR="00AE58EA">
        <w:rPr>
          <w:rFonts w:ascii="Book Antiqua" w:eastAsia="Book Antiqua" w:hAnsi="Book Antiqua" w:cs="Book Antiqua"/>
          <w:bCs/>
          <w:sz w:val="20"/>
          <w:szCs w:val="20"/>
        </w:rPr>
        <w:t>, h</w:t>
      </w:r>
      <w:r w:rsidR="00391AFD" w:rsidRPr="003638C8">
        <w:rPr>
          <w:rFonts w:ascii="Book Antiqua" w:eastAsia="Book Antiqua" w:hAnsi="Book Antiqua" w:cs="Book Antiqua"/>
          <w:bCs/>
          <w:sz w:val="20"/>
          <w:szCs w:val="20"/>
        </w:rPr>
        <w:t>e used the Double Mass Curve to evaluate the homogeneity of rainfall data from several rainfall stations. The results showed that most of the data was homogeneous, and the DMC was used to adjust for inhomogeneity.</w:t>
      </w:r>
      <w:r w:rsidR="00AE58EA">
        <w:rPr>
          <w:rFonts w:ascii="Book Antiqua" w:eastAsia="Book Antiqua" w:hAnsi="Book Antiqua" w:cs="Book Antiqua"/>
          <w:bCs/>
          <w:sz w:val="20"/>
          <w:szCs w:val="20"/>
        </w:rPr>
        <w:t xml:space="preserve"> </w:t>
      </w:r>
    </w:p>
    <w:p w14:paraId="717A5772" w14:textId="0C4E7635" w:rsidR="00391AFD" w:rsidRDefault="00E13DD6" w:rsidP="00AE58EA">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In contrast to the results of previous research, the use of the Double Mass Curve shows that some stations are not completely homogeneous, so this method needs to be combined with other statistical tests</w:t>
      </w:r>
      <w:r w:rsidR="002A1277">
        <w:rPr>
          <w:rFonts w:ascii="Book Antiqua" w:eastAsia="Book Antiqua" w:hAnsi="Book Antiqua" w:cs="Book Antiqua"/>
          <w:bCs/>
          <w:sz w:val="20"/>
          <w:szCs w:val="20"/>
        </w:rPr>
        <w:t xml:space="preserve"> </w:t>
      </w:r>
      <w:r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http://dx.doi.org/10.4236/jwarp.2012.42012","author":[{"dropping-particle":"","family":"Eris","given":"Ebru","non-dropping-particle":"","parse-names":false,"suffix":""},{"dropping-particle":"","family":"Agiralioglu","given":"Necati","non-dropping-particle":"","parse-names":false,"suffix":""}],"container-title":"Journal of Water Resource and Protection","id":"ITEM-1","issue":"February","issued":{"date-parts":[["2012"]]},"page":"99-105","title":"Homogeneity and Trend Analysis of Hydrometeorological Data of the Eastern Black Sea Region , Turkey","type":"article-journal","volume":"2012"},"uris":["http://www.mendeley.com/documents/?uuid=05a10c53-58a1-49b1-9b68-b5ca823add15","http://www.mendeley.com/documents/?uuid=7e764e32-514a-49a4-a5cd-b0f33c8a25e4"]}],"mendeley":{"formattedCitation":"(Eris &amp; Agiralioglu, 2012)","plainTextFormattedCitation":"(Eris &amp; Agiralioglu, 2012)","previouslyFormattedCitation":"(Eris &amp; Agiralioglu, 2012)"},"properties":{"noteIndex":0},"schema":"https://github.com/citation-style-language/schema/raw/master/csl-citation.json"}</w:instrText>
      </w:r>
      <w:r w:rsidRPr="003638C8">
        <w:rPr>
          <w:rFonts w:ascii="Book Antiqua" w:eastAsia="Book Antiqua" w:hAnsi="Book Antiqua" w:cs="Book Antiqua"/>
          <w:bCs/>
          <w:sz w:val="20"/>
          <w:szCs w:val="20"/>
        </w:rPr>
        <w:fldChar w:fldCharType="separate"/>
      </w:r>
      <w:r w:rsidR="00D51CF0" w:rsidRPr="00D51CF0">
        <w:rPr>
          <w:rFonts w:ascii="Book Antiqua" w:eastAsia="Book Antiqua" w:hAnsi="Book Antiqua" w:cs="Book Antiqua"/>
          <w:bCs/>
          <w:noProof/>
          <w:sz w:val="20"/>
          <w:szCs w:val="20"/>
        </w:rPr>
        <w:t>(Eris &amp; Agiralioglu, 2012)</w:t>
      </w:r>
      <w:r w:rsidRPr="003638C8">
        <w:rPr>
          <w:rFonts w:ascii="Book Antiqua" w:eastAsia="Book Antiqua" w:hAnsi="Book Antiqua" w:cs="Book Antiqua"/>
          <w:bCs/>
          <w:sz w:val="20"/>
          <w:szCs w:val="20"/>
        </w:rPr>
        <w:fldChar w:fldCharType="end"/>
      </w:r>
      <w:r w:rsidRPr="003638C8">
        <w:rPr>
          <w:rFonts w:ascii="Book Antiqua" w:eastAsia="Book Antiqua" w:hAnsi="Book Antiqua" w:cs="Book Antiqua"/>
          <w:bCs/>
          <w:sz w:val="20"/>
          <w:szCs w:val="20"/>
        </w:rPr>
        <w:t>.</w:t>
      </w:r>
    </w:p>
    <w:p w14:paraId="72B0899E" w14:textId="77777777" w:rsidR="00AE58EA" w:rsidRDefault="00AE58EA" w:rsidP="00C1355C">
      <w:pPr>
        <w:jc w:val="both"/>
        <w:rPr>
          <w:rFonts w:ascii="Book Antiqua" w:eastAsia="Book Antiqua" w:hAnsi="Book Antiqua" w:cs="Book Antiqua"/>
          <w:bCs/>
          <w:sz w:val="20"/>
          <w:szCs w:val="20"/>
        </w:rPr>
      </w:pPr>
    </w:p>
    <w:p w14:paraId="416F8274" w14:textId="6DEC7874" w:rsidR="00AE58EA" w:rsidRPr="003638C8" w:rsidRDefault="00AE58EA" w:rsidP="00C1355C">
      <w:pPr>
        <w:jc w:val="both"/>
        <w:rPr>
          <w:rFonts w:ascii="Book Antiqua" w:eastAsia="Book Antiqua" w:hAnsi="Book Antiqua" w:cs="Book Antiqua"/>
          <w:bCs/>
          <w:sz w:val="20"/>
          <w:szCs w:val="20"/>
        </w:rPr>
      </w:pPr>
      <w:r w:rsidRPr="003638C8">
        <w:rPr>
          <w:rFonts w:ascii="Book Antiqua" w:hAnsi="Book Antiqua"/>
          <w:noProof/>
        </w:rPr>
        <w:drawing>
          <wp:inline distT="0" distB="0" distL="0" distR="0" wp14:anchorId="23D5E298" wp14:editId="58D4FD84">
            <wp:extent cx="3105150" cy="1801495"/>
            <wp:effectExtent l="0" t="0" r="0" b="8255"/>
            <wp:docPr id="450663880" name="Bagan 1">
              <a:extLst xmlns:a="http://schemas.openxmlformats.org/drawingml/2006/main">
                <a:ext uri="{FF2B5EF4-FFF2-40B4-BE49-F238E27FC236}">
                  <a16:creationId xmlns:a16="http://schemas.microsoft.com/office/drawing/2014/main" id="{A6F8B01E-E1FF-7524-463B-7227B8851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D799CAF" w14:textId="57AAF817" w:rsidR="00E3577A" w:rsidRDefault="00EB214B" w:rsidP="00AE58EA">
      <w:pPr>
        <w:jc w:val="center"/>
        <w:rPr>
          <w:rFonts w:ascii="Book Antiqua" w:eastAsia="Book Antiqua" w:hAnsi="Book Antiqua" w:cs="Book Antiqua"/>
          <w:bCs/>
          <w:sz w:val="18"/>
          <w:szCs w:val="18"/>
        </w:rPr>
      </w:pPr>
      <w:r w:rsidRPr="00EB214B">
        <w:rPr>
          <w:rFonts w:ascii="Book Antiqua" w:eastAsia="Book Antiqua" w:hAnsi="Book Antiqua" w:cs="Book Antiqua"/>
          <w:b/>
          <w:bCs/>
          <w:sz w:val="18"/>
          <w:szCs w:val="18"/>
        </w:rPr>
        <w:t xml:space="preserve">Figure </w:t>
      </w:r>
      <w:r w:rsidR="00D27F46">
        <w:rPr>
          <w:rFonts w:ascii="Book Antiqua" w:eastAsia="Book Antiqua" w:hAnsi="Book Antiqua" w:cs="Book Antiqua"/>
          <w:b/>
          <w:bCs/>
          <w:sz w:val="18"/>
          <w:szCs w:val="18"/>
        </w:rPr>
        <w:t>6</w:t>
      </w:r>
      <w:r w:rsidRPr="00EB214B">
        <w:rPr>
          <w:rFonts w:ascii="Book Antiqua" w:eastAsia="Book Antiqua" w:hAnsi="Book Antiqua" w:cs="Book Antiqua"/>
          <w:bCs/>
          <w:sz w:val="18"/>
          <w:szCs w:val="18"/>
        </w:rPr>
        <w:t xml:space="preserve">. </w:t>
      </w:r>
      <w:r w:rsidR="00E3577A" w:rsidRPr="00EB214B">
        <w:rPr>
          <w:rFonts w:ascii="Book Antiqua" w:eastAsia="Book Antiqua" w:hAnsi="Book Antiqua" w:cs="Book Antiqua"/>
          <w:bCs/>
          <w:sz w:val="18"/>
          <w:szCs w:val="18"/>
        </w:rPr>
        <w:t xml:space="preserve">Consistency test of rainfall data in </w:t>
      </w:r>
      <w:proofErr w:type="spellStart"/>
      <w:r w:rsidR="00E3577A" w:rsidRPr="00EB214B">
        <w:rPr>
          <w:rFonts w:ascii="Book Antiqua" w:eastAsia="Book Antiqua" w:hAnsi="Book Antiqua" w:cs="Book Antiqua"/>
          <w:bCs/>
          <w:sz w:val="18"/>
          <w:szCs w:val="18"/>
        </w:rPr>
        <w:t>Bonebolango</w:t>
      </w:r>
      <w:proofErr w:type="spellEnd"/>
      <w:r w:rsidR="00E3577A" w:rsidRPr="00EB214B">
        <w:rPr>
          <w:rFonts w:ascii="Book Antiqua" w:eastAsia="Book Antiqua" w:hAnsi="Book Antiqua" w:cs="Book Antiqua"/>
          <w:bCs/>
          <w:sz w:val="18"/>
          <w:szCs w:val="18"/>
        </w:rPr>
        <w:t xml:space="preserve"> Regency</w:t>
      </w:r>
    </w:p>
    <w:p w14:paraId="746B2AEB" w14:textId="77777777" w:rsidR="00AE58EA" w:rsidRPr="00EB214B" w:rsidRDefault="00AE58EA" w:rsidP="00AE58EA">
      <w:pPr>
        <w:jc w:val="center"/>
        <w:rPr>
          <w:rFonts w:ascii="Book Antiqua" w:eastAsia="Book Antiqua" w:hAnsi="Book Antiqua" w:cs="Book Antiqua"/>
          <w:bCs/>
          <w:sz w:val="18"/>
          <w:szCs w:val="18"/>
        </w:rPr>
      </w:pPr>
    </w:p>
    <w:p w14:paraId="58297286" w14:textId="77777777" w:rsidR="00AE58EA" w:rsidRDefault="00D67186" w:rsidP="00AE58EA">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 xml:space="preserve">The Double Mass Curve test results in Bone </w:t>
      </w:r>
      <w:proofErr w:type="spellStart"/>
      <w:r w:rsidRPr="003638C8">
        <w:rPr>
          <w:rFonts w:ascii="Book Antiqua" w:eastAsia="Book Antiqua" w:hAnsi="Book Antiqua" w:cs="Book Antiqua"/>
          <w:bCs/>
          <w:sz w:val="20"/>
          <w:szCs w:val="20"/>
        </w:rPr>
        <w:t>Bolango</w:t>
      </w:r>
      <w:proofErr w:type="spellEnd"/>
      <w:r w:rsidRPr="003638C8">
        <w:rPr>
          <w:rFonts w:ascii="Book Antiqua" w:eastAsia="Book Antiqua" w:hAnsi="Book Antiqua" w:cs="Book Antiqua"/>
          <w:bCs/>
          <w:sz w:val="20"/>
          <w:szCs w:val="20"/>
        </w:rPr>
        <w:t xml:space="preserve"> Regency demonstrate high data reliability, with a consistent linear graph up to an accumulation of &gt;28,000 mm. This demonstrates the data's homogeneity, freedom from non-climatic disturbances, and high validity for advanced hydrological analysis and water infrastructure planning in Gorontalo Province.</w:t>
      </w:r>
    </w:p>
    <w:p w14:paraId="7E6699AD" w14:textId="77777777" w:rsidR="006650B1" w:rsidRDefault="001533E2" w:rsidP="006650B1">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In research</w:t>
      </w:r>
      <w:r w:rsidR="00200B43">
        <w:rPr>
          <w:rFonts w:ascii="Book Antiqua" w:eastAsia="Book Antiqua" w:hAnsi="Book Antiqua" w:cs="Book Antiqua"/>
          <w:bCs/>
          <w:sz w:val="20"/>
          <w:szCs w:val="20"/>
        </w:rPr>
        <w:t xml:space="preserve"> </w:t>
      </w:r>
      <w:r w:rsidR="002B74B3">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{"citationItems":[{"id":"ITEM-1","itemData":{"DOI":"10.11113/aej.V12.16974","ISSN":"25869159","abstract":"In water resources planning and management, it is essential to have reliable rainfall data. In many cases, rainfall data under the guardian national/ local institution are incomplete. Some data are missing, both monthly and annually. The missing data may persist due to neither damage nor human error. This study aims to estimate the missing rainfall data using two methods, i.e., the inverse square distance and the arithmetic mean methods. The study compared the two mentioned methods using root mean square error (RMSE) and mean absolute error (MAE) and to determine the consistency of rainfall data in all stations using double mass curve analysis. This study utilized the rainfall data from Tepus, Semanu, Rongkop, and Tanjungsari Stations in Gunung Kidul Regency, Yogyakarta Province, Indonesia. The model performance was tested by the root mean square error (RMSE) and mean absolute error (MAE). The rainfall data consistency was determined by double mass curve analysis. The results showed that the arithmetic mean method performed better rather than the inverse square distance method. The smallest RMSE and MAE values in the arithmetic method at the four stations have confirmed the statement. The rainfall data consistency analyzed by the double mass curve is consistent in all stations except Tepus Station.","author":[{"dropping-particle":"","family":"Yogafanny","given":"Ekha","non-dropping-particle":"","parse-names":false,"suffix":""},{"dropping-particle":"","family":"Legono","given":"D. Joko","non-dropping-particle":"","parse-names":false,"suffix":""}],"container-title":"ASEAN Engineering Journal","id":"ITEM-1","issue":"2","issued":{"date-parts":[["2022"]]},"page":"69-74","title":"a Comparative Study of Missing Rainfall Data Analysis Using the Methods of Inversed Square Distance and Arithmetic Mean","type":"article-journal","volume":"12"},"uris":["http://www.mendeley.com/documents/?uuid=df640df5-4ba0-4d2c-a4c6-8007e9b09d90"]}],"mendeley":{"formattedCitation":"(Yogafanny &amp; Legono, 2022)","plainTextFormattedCitation":"(Yogafanny &amp; Legono, 2022)","previouslyFormattedCitation":"(Yogafanny &amp; Legono, 2022)"},"properties":{"noteIndex":0},"schema":"https://github.com/citation-style-language/schema/raw/master/csl-citation.json"}</w:instrText>
      </w:r>
      <w:r w:rsidR="002B74B3">
        <w:rPr>
          <w:rFonts w:ascii="Book Antiqua" w:eastAsia="Book Antiqua" w:hAnsi="Book Antiqua" w:cs="Book Antiqua"/>
          <w:bCs/>
          <w:sz w:val="20"/>
          <w:szCs w:val="20"/>
        </w:rPr>
        <w:fldChar w:fldCharType="separate"/>
      </w:r>
      <w:r w:rsidR="00AE58EA">
        <w:rPr>
          <w:rFonts w:ascii="Book Antiqua" w:eastAsia="Book Antiqua" w:hAnsi="Book Antiqua" w:cs="Book Antiqua"/>
          <w:bCs/>
          <w:noProof/>
          <w:sz w:val="20"/>
          <w:szCs w:val="20"/>
        </w:rPr>
        <w:t>Yogafanny et al.</w:t>
      </w:r>
      <w:r w:rsidR="00D51CF0" w:rsidRPr="00D51CF0">
        <w:rPr>
          <w:rFonts w:ascii="Book Antiqua" w:eastAsia="Book Antiqua" w:hAnsi="Book Antiqua" w:cs="Book Antiqua"/>
          <w:bCs/>
          <w:noProof/>
          <w:sz w:val="20"/>
          <w:szCs w:val="20"/>
        </w:rPr>
        <w:t xml:space="preserve"> </w:t>
      </w:r>
      <w:r w:rsidR="00AE58EA">
        <w:rPr>
          <w:rFonts w:ascii="Book Antiqua" w:eastAsia="Book Antiqua" w:hAnsi="Book Antiqua" w:cs="Book Antiqua"/>
          <w:bCs/>
          <w:noProof/>
          <w:sz w:val="20"/>
          <w:szCs w:val="20"/>
        </w:rPr>
        <w:t>(</w:t>
      </w:r>
      <w:r w:rsidR="00D51CF0" w:rsidRPr="00D51CF0">
        <w:rPr>
          <w:rFonts w:ascii="Book Antiqua" w:eastAsia="Book Antiqua" w:hAnsi="Book Antiqua" w:cs="Book Antiqua"/>
          <w:bCs/>
          <w:noProof/>
          <w:sz w:val="20"/>
          <w:szCs w:val="20"/>
        </w:rPr>
        <w:t>2022)</w:t>
      </w:r>
      <w:r w:rsidR="002B74B3">
        <w:rPr>
          <w:rFonts w:ascii="Book Antiqua" w:eastAsia="Book Antiqua" w:hAnsi="Book Antiqua" w:cs="Book Antiqua"/>
          <w:bCs/>
          <w:sz w:val="20"/>
          <w:szCs w:val="20"/>
        </w:rPr>
        <w:fldChar w:fldCharType="end"/>
      </w:r>
      <w:r w:rsidRPr="003638C8">
        <w:rPr>
          <w:rFonts w:ascii="Book Antiqua" w:eastAsia="Book Antiqua" w:hAnsi="Book Antiqua" w:cs="Book Antiqua"/>
          <w:bCs/>
          <w:sz w:val="20"/>
          <w:szCs w:val="20"/>
        </w:rPr>
        <w:t>, Double Mass Curve is used to ensure the consistency and homogeneity of annual rainfall data, where the results show that the data is consistent and homogeneous because the cumulative graph follows a linear line.</w:t>
      </w:r>
    </w:p>
    <w:p w14:paraId="56C11283" w14:textId="73DB5896" w:rsidR="002E7CA5" w:rsidRPr="006650B1" w:rsidRDefault="002E7CA5" w:rsidP="006650B1">
      <w:pPr>
        <w:ind w:firstLine="426"/>
        <w:jc w:val="both"/>
        <w:rPr>
          <w:rFonts w:ascii="Book Antiqua" w:eastAsia="Book Antiqua" w:hAnsi="Book Antiqua" w:cs="Book Antiqua"/>
          <w:bCs/>
          <w:sz w:val="20"/>
          <w:szCs w:val="20"/>
        </w:rPr>
      </w:pPr>
      <w:r w:rsidRPr="00AE58EA">
        <w:rPr>
          <w:rFonts w:ascii="Book Antiqua" w:eastAsia="Book Antiqua" w:hAnsi="Book Antiqua" w:cs="Book Antiqua"/>
          <w:sz w:val="20"/>
          <w:szCs w:val="20"/>
        </w:rPr>
        <w:t>However, several other studies from</w:t>
      </w:r>
      <w:r w:rsidR="00A07605" w:rsidRPr="00AE58EA">
        <w:rPr>
          <w:rFonts w:ascii="Book Antiqua" w:eastAsia="Book Antiqua" w:hAnsi="Book Antiqua" w:cs="Book Antiqua"/>
          <w:sz w:val="20"/>
          <w:szCs w:val="20"/>
        </w:rPr>
        <w:t xml:space="preserve"> </w:t>
      </w:r>
      <w:r w:rsidRPr="00AE58EA">
        <w:rPr>
          <w:rFonts w:ascii="Book Antiqua" w:eastAsia="Book Antiqua" w:hAnsi="Book Antiqua" w:cs="Book Antiqua"/>
          <w:sz w:val="20"/>
          <w:szCs w:val="20"/>
        </w:rPr>
        <w:fldChar w:fldCharType="begin" w:fldLock="1"/>
      </w:r>
      <w:r w:rsidR="00D51CF0" w:rsidRPr="00AE58EA">
        <w:rPr>
          <w:rFonts w:ascii="Book Antiqua" w:eastAsia="Book Antiqua" w:hAnsi="Book Antiqua" w:cs="Book Antiqua"/>
          <w:sz w:val="20"/>
          <w:szCs w:val="20"/>
        </w:rPr>
        <w:instrText>ADDIN CSL_CITATION {"citationItems":[{"id":"ITEM-1","itemData":{"author":[{"dropping-particle":"","family":"Hardison","given":"JAMES K. SEARCY and CLAYTON H.","non-dropping-particle":"","parse-names":false,"suffix":""}],"id":"ITEM-1","issued":{"date-parts":[["1960"]]},"title":"Double-Mass Curves Double-Mass Curves","type":"article-journal"},"uris":["http://www.mendeley.com/documents/?uuid=3f23d946-d93b-4f29-8901-974fe410e16a","http://www.mendeley.com/documents/?uuid=51e40b54-d426-4bab-8b35-e1f5aadc32db"]}],"mendeley":{"formattedCitation":"(Hardison, 1960)","plainTextFormattedCitation":"(Hardison, 1960)","previouslyFormattedCitation":"(Hardison, 1960)"},"properties":{"noteIndex":0},"schema":"https://github.com/citation-style-language/schema/raw/master/csl-citation.json"}</w:instrText>
      </w:r>
      <w:r w:rsidRPr="00AE58EA">
        <w:rPr>
          <w:rFonts w:ascii="Book Antiqua" w:eastAsia="Book Antiqua" w:hAnsi="Book Antiqua" w:cs="Book Antiqua"/>
          <w:sz w:val="20"/>
          <w:szCs w:val="20"/>
        </w:rPr>
        <w:fldChar w:fldCharType="separate"/>
      </w:r>
      <w:r w:rsidR="006650B1">
        <w:rPr>
          <w:rFonts w:ascii="Book Antiqua" w:eastAsia="Book Antiqua" w:hAnsi="Book Antiqua" w:cs="Book Antiqua"/>
          <w:sz w:val="20"/>
          <w:szCs w:val="20"/>
        </w:rPr>
        <w:t>Hardison</w:t>
      </w:r>
      <w:r w:rsidR="00D51CF0" w:rsidRPr="00AE58EA">
        <w:rPr>
          <w:rFonts w:ascii="Book Antiqua" w:eastAsia="Book Antiqua" w:hAnsi="Book Antiqua" w:cs="Book Antiqua"/>
          <w:sz w:val="20"/>
          <w:szCs w:val="20"/>
        </w:rPr>
        <w:t xml:space="preserve"> </w:t>
      </w:r>
      <w:r w:rsidR="006650B1">
        <w:rPr>
          <w:rFonts w:ascii="Book Antiqua" w:eastAsia="Book Antiqua" w:hAnsi="Book Antiqua" w:cs="Book Antiqua"/>
          <w:sz w:val="20"/>
          <w:szCs w:val="20"/>
        </w:rPr>
        <w:t>(</w:t>
      </w:r>
      <w:r w:rsidR="00D51CF0" w:rsidRPr="00AE58EA">
        <w:rPr>
          <w:rFonts w:ascii="Book Antiqua" w:eastAsia="Book Antiqua" w:hAnsi="Book Antiqua" w:cs="Book Antiqua"/>
          <w:sz w:val="20"/>
          <w:szCs w:val="20"/>
        </w:rPr>
        <w:t>1960)</w:t>
      </w:r>
      <w:r w:rsidRPr="00AE58EA">
        <w:rPr>
          <w:rFonts w:ascii="Book Antiqua" w:eastAsia="Book Antiqua" w:hAnsi="Book Antiqua" w:cs="Book Antiqua"/>
          <w:sz w:val="20"/>
          <w:szCs w:val="20"/>
        </w:rPr>
        <w:fldChar w:fldCharType="end"/>
      </w:r>
      <w:r w:rsidR="00A07605" w:rsidRPr="00AE58EA">
        <w:rPr>
          <w:rFonts w:ascii="Book Antiqua" w:eastAsia="Book Antiqua" w:hAnsi="Book Antiqua" w:cs="Book Antiqua"/>
          <w:sz w:val="20"/>
          <w:szCs w:val="20"/>
        </w:rPr>
        <w:t xml:space="preserve"> </w:t>
      </w:r>
      <w:r w:rsidRPr="00AE58EA">
        <w:rPr>
          <w:rFonts w:ascii="Book Antiqua" w:eastAsia="Book Antiqua" w:hAnsi="Book Antiqua" w:cs="Book Antiqua"/>
          <w:sz w:val="20"/>
          <w:szCs w:val="20"/>
        </w:rPr>
        <w:t xml:space="preserve">emphasizes that the Double Mass Curve is not always sufficient to detect all possible inhomogeneities in rainfall series without the support of additional </w:t>
      </w:r>
      <w:r w:rsidRPr="00AE58EA">
        <w:rPr>
          <w:rFonts w:ascii="Book Antiqua" w:eastAsia="Book Antiqua" w:hAnsi="Book Antiqua" w:cs="Book Antiqua"/>
          <w:sz w:val="20"/>
          <w:szCs w:val="20"/>
        </w:rPr>
        <w:t>statistical tests such as Mann-Kendall or other trend tests.</w:t>
      </w:r>
    </w:p>
    <w:p w14:paraId="2A1430C4" w14:textId="77777777" w:rsidR="00277A8B" w:rsidRPr="006650B1" w:rsidRDefault="00277A8B" w:rsidP="006650B1">
      <w:pPr>
        <w:ind w:firstLine="426"/>
        <w:jc w:val="both"/>
        <w:rPr>
          <w:rFonts w:ascii="Book Antiqua" w:eastAsia="Book Antiqua" w:hAnsi="Book Antiqua" w:cs="Book Antiqua"/>
          <w:sz w:val="20"/>
          <w:szCs w:val="20"/>
        </w:rPr>
      </w:pPr>
      <w:r w:rsidRPr="003638C8">
        <w:rPr>
          <w:rFonts w:ascii="Book Antiqua" w:eastAsia="Book Antiqua" w:hAnsi="Book Antiqua" w:cs="Book Antiqua"/>
          <w:bCs/>
          <w:sz w:val="20"/>
          <w:szCs w:val="20"/>
        </w:rPr>
        <w:t xml:space="preserve">The Double Mass Curve consistency test in </w:t>
      </w:r>
      <w:proofErr w:type="spellStart"/>
      <w:r w:rsidRPr="003638C8">
        <w:rPr>
          <w:rFonts w:ascii="Book Antiqua" w:eastAsia="Book Antiqua" w:hAnsi="Book Antiqua" w:cs="Book Antiqua"/>
          <w:bCs/>
          <w:sz w:val="20"/>
          <w:szCs w:val="20"/>
        </w:rPr>
        <w:t>Boalemo</w:t>
      </w:r>
      <w:proofErr w:type="spellEnd"/>
      <w:r w:rsidRPr="003638C8">
        <w:rPr>
          <w:rFonts w:ascii="Book Antiqua" w:eastAsia="Book Antiqua" w:hAnsi="Book Antiqua" w:cs="Book Antiqua"/>
          <w:bCs/>
          <w:sz w:val="20"/>
          <w:szCs w:val="20"/>
        </w:rPr>
        <w:t xml:space="preserve"> Regency demonstrated high data reliability, with a stable linear graph up to &gt;18,000 mm. This homogeneous pattern demonstrates the data's freedom from non-climatic disturbances and technical errors, making it highly valid for use without correction in strategic hydrological analysis </w:t>
      </w:r>
      <w:r w:rsidRPr="006650B1">
        <w:rPr>
          <w:rFonts w:ascii="Book Antiqua" w:eastAsia="Book Antiqua" w:hAnsi="Book Antiqua" w:cs="Book Antiqua"/>
          <w:sz w:val="20"/>
          <w:szCs w:val="20"/>
        </w:rPr>
        <w:t>and reflecting the harmony of rainfall patterns in Gorontalo Province.</w:t>
      </w:r>
    </w:p>
    <w:p w14:paraId="7F20D83A" w14:textId="77777777" w:rsidR="00277A8B" w:rsidRDefault="00277A8B" w:rsidP="00AE58EA">
      <w:pPr>
        <w:ind w:firstLine="426"/>
        <w:jc w:val="both"/>
        <w:rPr>
          <w:rFonts w:ascii="Book Antiqua" w:eastAsia="Book Antiqua" w:hAnsi="Book Antiqua" w:cs="Book Antiqua"/>
          <w:sz w:val="20"/>
          <w:szCs w:val="20"/>
        </w:rPr>
      </w:pPr>
    </w:p>
    <w:p w14:paraId="68E32226" w14:textId="07DC6E7B" w:rsidR="00AE58EA" w:rsidRPr="00AE58EA" w:rsidRDefault="0078081A" w:rsidP="006650B1">
      <w:pPr>
        <w:jc w:val="both"/>
        <w:rPr>
          <w:rFonts w:ascii="Book Antiqua" w:eastAsia="Book Antiqua" w:hAnsi="Book Antiqua" w:cs="Book Antiqua"/>
          <w:sz w:val="20"/>
          <w:szCs w:val="20"/>
        </w:rPr>
      </w:pPr>
      <w:r w:rsidRPr="003638C8">
        <w:rPr>
          <w:rFonts w:ascii="Book Antiqua" w:hAnsi="Book Antiqua"/>
          <w:noProof/>
        </w:rPr>
        <w:drawing>
          <wp:inline distT="0" distB="0" distL="0" distR="0" wp14:anchorId="5E95ACA4" wp14:editId="7711CAE7">
            <wp:extent cx="3114675" cy="2141220"/>
            <wp:effectExtent l="0" t="0" r="9525" b="11430"/>
            <wp:docPr id="1" name="Bagan 1">
              <a:extLst xmlns:a="http://schemas.openxmlformats.org/drawingml/2006/main">
                <a:ext uri="{FF2B5EF4-FFF2-40B4-BE49-F238E27FC236}">
                  <a16:creationId xmlns:a16="http://schemas.microsoft.com/office/drawing/2014/main" id="{A9A48C89-2378-559A-2D69-C4EE278F22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7F003A1" w14:textId="759915EC" w:rsidR="00CF6CEC" w:rsidRPr="00EB214B" w:rsidRDefault="00EB214B" w:rsidP="006650B1">
      <w:pPr>
        <w:jc w:val="center"/>
        <w:rPr>
          <w:rFonts w:ascii="Book Antiqua" w:eastAsia="Book Antiqua" w:hAnsi="Book Antiqua" w:cs="Book Antiqua"/>
          <w:bCs/>
          <w:sz w:val="18"/>
          <w:szCs w:val="18"/>
        </w:rPr>
      </w:pPr>
      <w:r w:rsidRPr="00EB214B">
        <w:rPr>
          <w:rFonts w:ascii="Book Antiqua" w:eastAsia="Book Antiqua" w:hAnsi="Book Antiqua" w:cs="Book Antiqua"/>
          <w:b/>
          <w:bCs/>
          <w:sz w:val="18"/>
          <w:szCs w:val="18"/>
        </w:rPr>
        <w:t xml:space="preserve">Figure </w:t>
      </w:r>
      <w:r w:rsidR="00D27F46">
        <w:rPr>
          <w:rFonts w:ascii="Book Antiqua" w:eastAsia="Book Antiqua" w:hAnsi="Book Antiqua" w:cs="Book Antiqua"/>
          <w:b/>
          <w:bCs/>
          <w:sz w:val="18"/>
          <w:szCs w:val="18"/>
        </w:rPr>
        <w:t>7</w:t>
      </w:r>
      <w:r w:rsidR="00CF6CEC" w:rsidRPr="00EB214B">
        <w:rPr>
          <w:rFonts w:ascii="Book Antiqua" w:eastAsia="Book Antiqua" w:hAnsi="Book Antiqua" w:cs="Book Antiqua"/>
          <w:bCs/>
          <w:sz w:val="18"/>
          <w:szCs w:val="18"/>
        </w:rPr>
        <w:t xml:space="preserve">. Consistency test of rainfall data in </w:t>
      </w:r>
      <w:proofErr w:type="spellStart"/>
      <w:r w:rsidR="00CF6CEC" w:rsidRPr="00EB214B">
        <w:rPr>
          <w:rFonts w:ascii="Book Antiqua" w:eastAsia="Book Antiqua" w:hAnsi="Book Antiqua" w:cs="Book Antiqua"/>
          <w:bCs/>
          <w:sz w:val="18"/>
          <w:szCs w:val="18"/>
        </w:rPr>
        <w:t>Boalemo</w:t>
      </w:r>
      <w:proofErr w:type="spellEnd"/>
      <w:r w:rsidR="00CF6CEC" w:rsidRPr="00EB214B">
        <w:rPr>
          <w:rFonts w:ascii="Book Antiqua" w:eastAsia="Book Antiqua" w:hAnsi="Book Antiqua" w:cs="Book Antiqua"/>
          <w:bCs/>
          <w:sz w:val="18"/>
          <w:szCs w:val="18"/>
        </w:rPr>
        <w:t xml:space="preserve"> Regency</w:t>
      </w:r>
    </w:p>
    <w:p w14:paraId="5DC821BC" w14:textId="2E24094E" w:rsidR="00CF6CEC" w:rsidRPr="003638C8" w:rsidRDefault="00905914" w:rsidP="00905914">
      <w:pPr>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ab/>
      </w:r>
    </w:p>
    <w:p w14:paraId="61C318DD" w14:textId="67EE7057" w:rsidR="00DA7A28" w:rsidRPr="003638C8" w:rsidRDefault="0032471F" w:rsidP="006650B1">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In line with</w:t>
      </w:r>
      <w:r w:rsidR="002A1277">
        <w:rPr>
          <w:rFonts w:ascii="Book Antiqua" w:eastAsia="Book Antiqua" w:hAnsi="Book Antiqua" w:cs="Book Antiqua"/>
          <w:bCs/>
          <w:sz w:val="20"/>
          <w:szCs w:val="20"/>
        </w:rPr>
        <w:t xml:space="preserve"> </w:t>
      </w:r>
      <w:r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10.33364/konstruksi/v.23-1.1881","author":[{"dropping-particle":"","family":"Ruspa","given":"Rena","non-dropping-particle":"","parse-names":false,"suffix":""},{"dropping-particle":"","family":"Permana","given":"Sulwan","non-dropping-particle":"","parse-names":false,"suffix":""},{"dropping-particle":"","family":"Hantari","given":"Anjas Ninda","non-dropping-particle":"","parse-names":false,"suffix":""}],"id":"ITEM-1","issued":{"date-parts":[["2025"]]},"page":"273-282","title":"Analisis Konsistensi Data Curah Hujan Terhadap Debit Andalan ( Studi Kasus : Bendung Leuwipeundeuy )","type":"article-journal"},"uris":["http://www.mendeley.com/documents/?uuid=0dcc6812-c358-4cd9-8775-83c4c70a3e93","http://www.mendeley.com/documents/?uuid=4f234d8f-a8eb-43bf-9733-968bc3e17dd6"]}],"mendeley":{"formattedCitation":"(Ruspa et al., 2025)","plainTextFormattedCitation":"(Ruspa et al., 2025)","previouslyFormattedCitation":"(Ruspa et al., 2025)"},"properties":{"noteIndex":0},"schema":"https://github.com/citation-style-language/schema/raw/master/csl-citation.json"}</w:instrText>
      </w:r>
      <w:r w:rsidRPr="003638C8">
        <w:rPr>
          <w:rFonts w:ascii="Book Antiqua" w:eastAsia="Book Antiqua" w:hAnsi="Book Antiqua" w:cs="Book Antiqua"/>
          <w:bCs/>
          <w:sz w:val="20"/>
          <w:szCs w:val="20"/>
        </w:rPr>
        <w:fldChar w:fldCharType="separate"/>
      </w:r>
      <w:r w:rsidR="006650B1">
        <w:rPr>
          <w:rFonts w:ascii="Book Antiqua" w:eastAsia="Book Antiqua" w:hAnsi="Book Antiqua" w:cs="Book Antiqua"/>
          <w:bCs/>
          <w:sz w:val="20"/>
          <w:szCs w:val="20"/>
        </w:rPr>
        <w:t>Ruspa et al.</w:t>
      </w:r>
      <w:r w:rsidR="00D51CF0" w:rsidRPr="00D51CF0">
        <w:rPr>
          <w:rFonts w:ascii="Book Antiqua" w:eastAsia="Book Antiqua" w:hAnsi="Book Antiqua" w:cs="Book Antiqua"/>
          <w:bCs/>
          <w:sz w:val="20"/>
          <w:szCs w:val="20"/>
        </w:rPr>
        <w:t xml:space="preserve"> </w:t>
      </w:r>
      <w:r w:rsidR="006650B1">
        <w:rPr>
          <w:rFonts w:ascii="Book Antiqua" w:eastAsia="Book Antiqua" w:hAnsi="Book Antiqua" w:cs="Book Antiqua"/>
          <w:bCs/>
          <w:sz w:val="20"/>
          <w:szCs w:val="20"/>
        </w:rPr>
        <w:t>(</w:t>
      </w:r>
      <w:r w:rsidR="00D51CF0" w:rsidRPr="00D51CF0">
        <w:rPr>
          <w:rFonts w:ascii="Book Antiqua" w:eastAsia="Book Antiqua" w:hAnsi="Book Antiqua" w:cs="Book Antiqua"/>
          <w:bCs/>
          <w:sz w:val="20"/>
          <w:szCs w:val="20"/>
        </w:rPr>
        <w:t>2025)</w:t>
      </w:r>
      <w:r w:rsidRPr="003638C8">
        <w:rPr>
          <w:rFonts w:ascii="Book Antiqua" w:eastAsia="Book Antiqua" w:hAnsi="Book Antiqua" w:cs="Book Antiqua"/>
          <w:bCs/>
          <w:sz w:val="20"/>
          <w:szCs w:val="20"/>
        </w:rPr>
        <w:fldChar w:fldCharType="end"/>
      </w:r>
      <w:r w:rsidR="006650B1">
        <w:rPr>
          <w:rFonts w:ascii="Book Antiqua" w:eastAsia="Book Antiqua" w:hAnsi="Book Antiqua" w:cs="Book Antiqua"/>
          <w:bCs/>
          <w:sz w:val="20"/>
          <w:szCs w:val="20"/>
        </w:rPr>
        <w:t>, t</w:t>
      </w:r>
      <w:r w:rsidRPr="003638C8">
        <w:rPr>
          <w:rFonts w:ascii="Book Antiqua" w:eastAsia="Book Antiqua" w:hAnsi="Book Antiqua" w:cs="Book Antiqua"/>
          <w:bCs/>
          <w:sz w:val="20"/>
          <w:szCs w:val="20"/>
        </w:rPr>
        <w:t>his study found that the results of the Double Mass Curve test showed a linear relationship between the main station data and the comparison so that the rainfall data was assessed as consistent and homogeneous, in accordance with the straight-line characteristics on the DMC graph which showed data homogeneity.</w:t>
      </w:r>
    </w:p>
    <w:p w14:paraId="149DC1E3" w14:textId="3B34D5DC" w:rsidR="000832E8" w:rsidRDefault="00902832" w:rsidP="006650B1">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However,</w:t>
      </w:r>
      <w:r w:rsidR="002A1277">
        <w:rPr>
          <w:rFonts w:ascii="Book Antiqua" w:eastAsia="Book Antiqua" w:hAnsi="Book Antiqua" w:cs="Book Antiqua"/>
          <w:bCs/>
          <w:sz w:val="20"/>
          <w:szCs w:val="20"/>
        </w:rPr>
        <w:t xml:space="preserve"> </w:t>
      </w:r>
      <w:r w:rsidR="000832E8"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{"citationItems":[{"id":"ITEM-1","itemData":{"DOI":"10.1007/s13201-021-01474-6","ISBN":"1320102101474","ISSN":"2190-5495","author":[{"dropping-particle":"","family":"Khalil","given":"Alamgir","non-dropping-particle":"","parse-names":false,"suffix":""}],"container-title":"Applied Water Science","id":"ITEM-1","issue":"9","issued":{"date-parts":[["2021"]]},"page":"1-11","publisher":"Springer International Publishing","title":"Inhomogeneity detection in the rainfall series for the Mae Klong River Basin , Thailand","type":"article-journal","volume":"11"},"uris":["http://www.mendeley.com/documents/?uuid=3f93fcb9-1286-4cef-9503-69db5e9b07cb","http://www.mendeley.com/documents/?uuid=0b3ea39c-8c80-41f4-a5ab-cd0cc50cfcd4"]}],"mendeley":{"formattedCitation":"(Khalil, 2021)","plainTextFormattedCitation":"(Khalil, 2021)","previouslyFormattedCitation":"(Khalil, 2021)"},"properties":{"noteIndex":0},"schema":"https://github.com/citation-style-language/schema/raw/master/csl-citation.json"}</w:instrText>
      </w:r>
      <w:r w:rsidR="000832E8" w:rsidRPr="003638C8">
        <w:rPr>
          <w:rFonts w:ascii="Book Antiqua" w:eastAsia="Book Antiqua" w:hAnsi="Book Antiqua" w:cs="Book Antiqua"/>
          <w:bCs/>
          <w:sz w:val="20"/>
          <w:szCs w:val="20"/>
        </w:rPr>
        <w:fldChar w:fldCharType="separate"/>
      </w:r>
      <w:r w:rsidR="006650B1">
        <w:rPr>
          <w:rFonts w:ascii="Book Antiqua" w:eastAsia="Book Antiqua" w:hAnsi="Book Antiqua" w:cs="Book Antiqua"/>
          <w:bCs/>
          <w:sz w:val="20"/>
          <w:szCs w:val="20"/>
        </w:rPr>
        <w:t>Khalil (</w:t>
      </w:r>
      <w:r w:rsidR="00D51CF0" w:rsidRPr="00D51CF0">
        <w:rPr>
          <w:rFonts w:ascii="Book Antiqua" w:eastAsia="Book Antiqua" w:hAnsi="Book Antiqua" w:cs="Book Antiqua"/>
          <w:bCs/>
          <w:sz w:val="20"/>
          <w:szCs w:val="20"/>
        </w:rPr>
        <w:t>2021)</w:t>
      </w:r>
      <w:r w:rsidR="000832E8" w:rsidRPr="003638C8">
        <w:rPr>
          <w:rFonts w:ascii="Book Antiqua" w:eastAsia="Book Antiqua" w:hAnsi="Book Antiqua" w:cs="Book Antiqua"/>
          <w:bCs/>
          <w:sz w:val="20"/>
          <w:szCs w:val="20"/>
        </w:rPr>
        <w:fldChar w:fldCharType="end"/>
      </w:r>
      <w:r w:rsidR="002A1277">
        <w:rPr>
          <w:rFonts w:ascii="Book Antiqua" w:eastAsia="Book Antiqua" w:hAnsi="Book Antiqua" w:cs="Book Antiqua"/>
          <w:bCs/>
          <w:sz w:val="20"/>
          <w:szCs w:val="20"/>
        </w:rPr>
        <w:t xml:space="preserve"> </w:t>
      </w:r>
      <w:r w:rsidRPr="003638C8">
        <w:rPr>
          <w:rFonts w:ascii="Book Antiqua" w:eastAsia="Book Antiqua" w:hAnsi="Book Antiqua" w:cs="Book Antiqua"/>
          <w:bCs/>
          <w:sz w:val="20"/>
          <w:szCs w:val="20"/>
        </w:rPr>
        <w:t>shows that although the multiple mass curves may show linearity, some stations remain classified as 'doubtful' or 'suspect' after other formal statistical tests, so that DMC alone is not always sufficient to conclude data homogeneity</w:t>
      </w:r>
      <w:r w:rsidR="00070DE6" w:rsidRPr="003638C8">
        <w:rPr>
          <w:rFonts w:ascii="Book Antiqua" w:eastAsia="Book Antiqua" w:hAnsi="Book Antiqua" w:cs="Book Antiqua"/>
          <w:bCs/>
          <w:sz w:val="20"/>
          <w:szCs w:val="20"/>
        </w:rPr>
        <w:t xml:space="preserve"> </w:t>
      </w:r>
      <w:r w:rsidRPr="003638C8">
        <w:rPr>
          <w:rFonts w:ascii="Book Antiqua" w:eastAsia="Book Antiqua" w:hAnsi="Book Antiqua" w:cs="Book Antiqua"/>
          <w:bCs/>
          <w:sz w:val="20"/>
          <w:szCs w:val="20"/>
        </w:rPr>
        <w:t>absolutely.</w:t>
      </w:r>
    </w:p>
    <w:p w14:paraId="292D0C42" w14:textId="77777777" w:rsidR="006650B1" w:rsidRDefault="006650B1" w:rsidP="006650B1">
      <w:pPr>
        <w:ind w:firstLine="426"/>
        <w:jc w:val="both"/>
        <w:rPr>
          <w:rFonts w:ascii="Book Antiqua" w:eastAsia="Book Antiqua" w:hAnsi="Book Antiqua" w:cs="Book Antiqua"/>
          <w:bCs/>
          <w:sz w:val="20"/>
          <w:szCs w:val="20"/>
        </w:rPr>
      </w:pPr>
    </w:p>
    <w:p w14:paraId="47B02864" w14:textId="4C0A6908" w:rsidR="006650B1" w:rsidRPr="003638C8" w:rsidRDefault="006650B1" w:rsidP="006650B1">
      <w:pPr>
        <w:jc w:val="both"/>
        <w:rPr>
          <w:rFonts w:ascii="Book Antiqua" w:eastAsia="Book Antiqua" w:hAnsi="Book Antiqua" w:cs="Book Antiqua"/>
          <w:bCs/>
          <w:sz w:val="20"/>
          <w:szCs w:val="20"/>
        </w:rPr>
      </w:pPr>
      <w:r w:rsidRPr="003638C8">
        <w:rPr>
          <w:rFonts w:ascii="Book Antiqua" w:hAnsi="Book Antiqua"/>
          <w:noProof/>
        </w:rPr>
        <w:drawing>
          <wp:inline distT="0" distB="0" distL="0" distR="0" wp14:anchorId="466C368A" wp14:editId="60FA9F03">
            <wp:extent cx="3114675" cy="2056130"/>
            <wp:effectExtent l="0" t="0" r="9525" b="1270"/>
            <wp:docPr id="10275595" name="Bagan 1">
              <a:extLst xmlns:a="http://schemas.openxmlformats.org/drawingml/2006/main">
                <a:ext uri="{FF2B5EF4-FFF2-40B4-BE49-F238E27FC236}">
                  <a16:creationId xmlns:a16="http://schemas.microsoft.com/office/drawing/2014/main" id="{D5C58E80-B044-DD7E-B852-EFAA6AE6F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323CEA7" w14:textId="2D6B788F" w:rsidR="00CF6CEC" w:rsidRDefault="00EB214B" w:rsidP="006650B1">
      <w:pPr>
        <w:jc w:val="center"/>
        <w:rPr>
          <w:rFonts w:ascii="Book Antiqua" w:eastAsia="Book Antiqua" w:hAnsi="Book Antiqua" w:cs="Book Antiqua"/>
          <w:bCs/>
          <w:sz w:val="18"/>
          <w:szCs w:val="18"/>
        </w:rPr>
      </w:pPr>
      <w:r w:rsidRPr="00FE1550">
        <w:rPr>
          <w:rFonts w:ascii="Book Antiqua" w:eastAsia="Book Antiqua" w:hAnsi="Book Antiqua" w:cs="Book Antiqua"/>
          <w:b/>
          <w:bCs/>
          <w:sz w:val="18"/>
          <w:szCs w:val="18"/>
        </w:rPr>
        <w:t xml:space="preserve">Figure </w:t>
      </w:r>
      <w:r w:rsidR="00D27F46">
        <w:rPr>
          <w:rFonts w:ascii="Book Antiqua" w:eastAsia="Book Antiqua" w:hAnsi="Book Antiqua" w:cs="Book Antiqua"/>
          <w:b/>
          <w:bCs/>
          <w:sz w:val="18"/>
          <w:szCs w:val="18"/>
        </w:rPr>
        <w:t>8</w:t>
      </w:r>
      <w:r w:rsidR="00CF6CEC" w:rsidRPr="00FE1550">
        <w:rPr>
          <w:rFonts w:ascii="Book Antiqua" w:eastAsia="Book Antiqua" w:hAnsi="Book Antiqua" w:cs="Book Antiqua"/>
          <w:bCs/>
          <w:sz w:val="18"/>
          <w:szCs w:val="18"/>
        </w:rPr>
        <w:t xml:space="preserve">. Consistency test of rainfall data in </w:t>
      </w:r>
      <w:proofErr w:type="spellStart"/>
      <w:r w:rsidR="00CF6CEC" w:rsidRPr="00FE1550">
        <w:rPr>
          <w:rFonts w:ascii="Book Antiqua" w:eastAsia="Book Antiqua" w:hAnsi="Book Antiqua" w:cs="Book Antiqua"/>
          <w:bCs/>
          <w:sz w:val="18"/>
          <w:szCs w:val="18"/>
        </w:rPr>
        <w:t>Pohuwato</w:t>
      </w:r>
      <w:proofErr w:type="spellEnd"/>
      <w:r w:rsidR="00CF6CEC" w:rsidRPr="00FE1550">
        <w:rPr>
          <w:rFonts w:ascii="Book Antiqua" w:eastAsia="Book Antiqua" w:hAnsi="Book Antiqua" w:cs="Book Antiqua"/>
          <w:bCs/>
          <w:sz w:val="18"/>
          <w:szCs w:val="18"/>
        </w:rPr>
        <w:t xml:space="preserve"> Regency</w:t>
      </w:r>
    </w:p>
    <w:p w14:paraId="37451D00" w14:textId="77777777" w:rsidR="006650B1" w:rsidRDefault="0032471F" w:rsidP="006650B1">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lastRenderedPageBreak/>
        <w:t xml:space="preserve">The Double Mass Curve consistency test in </w:t>
      </w:r>
      <w:proofErr w:type="spellStart"/>
      <w:r w:rsidRPr="003638C8">
        <w:rPr>
          <w:rFonts w:ascii="Book Antiqua" w:eastAsia="Book Antiqua" w:hAnsi="Book Antiqua" w:cs="Book Antiqua"/>
          <w:bCs/>
          <w:sz w:val="20"/>
          <w:szCs w:val="20"/>
        </w:rPr>
        <w:t>Pohuwato</w:t>
      </w:r>
      <w:proofErr w:type="spellEnd"/>
      <w:r w:rsidRPr="003638C8">
        <w:rPr>
          <w:rFonts w:ascii="Book Antiqua" w:eastAsia="Book Antiqua" w:hAnsi="Book Antiqua" w:cs="Book Antiqua"/>
          <w:bCs/>
          <w:sz w:val="20"/>
          <w:szCs w:val="20"/>
        </w:rPr>
        <w:t xml:space="preserve"> Regency demonstrated high reliability with a homogeneous linear graph up to an accumulation of &gt;13,000 mm. The data was proven free from non-climatic disturbances and technical errors, making it highly reliable for strategic hydrological analysis, irrigation planning, and disaster mitigation without the need for correction.</w:t>
      </w:r>
    </w:p>
    <w:p w14:paraId="4E901A57" w14:textId="77777777" w:rsidR="006650B1" w:rsidRDefault="00B06CDA" w:rsidP="006650B1">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The use of the Double Mass Curve test as a data consistency evaluation tool is also applied by</w:t>
      </w:r>
      <w:r w:rsidR="00A07605">
        <w:rPr>
          <w:rFonts w:ascii="Book Antiqua" w:eastAsia="Book Antiqua" w:hAnsi="Book Antiqua" w:cs="Book Antiqua"/>
          <w:bCs/>
          <w:sz w:val="20"/>
          <w:szCs w:val="20"/>
        </w:rPr>
        <w:t xml:space="preserve"> </w:t>
      </w:r>
      <w:r w:rsidR="0001513A">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{"citationItems":[{"id":"ITEM-1","itemData":{"DOI":"10.56556/jescae.v1i2.20","abstract":"The temporal variability of rainfall in Quirino Province was analyzed through the use of rainfall data of seven (7) rain gauges within the neighboring provinces like Nueva Vizcaya and Aurora. The length of record analyzed from 1997 to 2016. In this study, rainfall frequency analysis and consistency of rainfall data from the different stations through the use of double mass curve analysis was performed and analyzed. The annual series was used to screen each station’s annual rainfall data while the province’s average Thiessen rainfall was screened using maximum period series process. It was found out that all the data of the seven (7) rainfall stations were consistent. To attain allowable error in estimation of 10%, 5% and 1% for the mean annual rainfall the number of rain gauge station needed in the province should be 18, 72 and 1799, respectively.","author":[{"dropping-particle":"","family":"Yanos","given":"Mar Heisen","non-dropping-particle":"","parse-names":false,"suffix":""}],"container-title":"Journal of Environmental Science and Economics","id":"ITEM-1","issue":"2","issued":{"date-parts":[["2022"]]},"page":"44-50","title":"Analysis of Rainfall Variability in the Province of Quirino","type":"article-journal","volume":"1"},"uris":["http://www.mendeley.com/documents/?uuid=f68cb6b6-9798-4466-8f93-9df3500163ee"]}],"mendeley":{"formattedCitation":"(Yanos, 2022)","plainTextFormattedCitation":"(Yanos, 2022)","previouslyFormattedCitation":"(Yanos, 2022)"},"properties":{"noteIndex":0},"schema":"https://github.com/citation-style-language/schema/raw/master/csl-citation.json"}</w:instrText>
      </w:r>
      <w:r w:rsidR="0001513A">
        <w:rPr>
          <w:rFonts w:ascii="Book Antiqua" w:eastAsia="Book Antiqua" w:hAnsi="Book Antiqua" w:cs="Book Antiqua"/>
          <w:bCs/>
          <w:sz w:val="20"/>
          <w:szCs w:val="20"/>
        </w:rPr>
        <w:fldChar w:fldCharType="separate"/>
      </w:r>
      <w:r w:rsidR="006650B1">
        <w:rPr>
          <w:rFonts w:ascii="Book Antiqua" w:eastAsia="Book Antiqua" w:hAnsi="Book Antiqua" w:cs="Book Antiqua"/>
          <w:bCs/>
          <w:noProof/>
          <w:sz w:val="20"/>
          <w:szCs w:val="20"/>
        </w:rPr>
        <w:t>Yanos</w:t>
      </w:r>
      <w:r w:rsidR="00D51CF0" w:rsidRPr="00D51CF0">
        <w:rPr>
          <w:rFonts w:ascii="Book Antiqua" w:eastAsia="Book Antiqua" w:hAnsi="Book Antiqua" w:cs="Book Antiqua"/>
          <w:bCs/>
          <w:noProof/>
          <w:sz w:val="20"/>
          <w:szCs w:val="20"/>
        </w:rPr>
        <w:t xml:space="preserve"> </w:t>
      </w:r>
      <w:r w:rsidR="006650B1">
        <w:rPr>
          <w:rFonts w:ascii="Book Antiqua" w:eastAsia="Book Antiqua" w:hAnsi="Book Antiqua" w:cs="Book Antiqua"/>
          <w:bCs/>
          <w:noProof/>
          <w:sz w:val="20"/>
          <w:szCs w:val="20"/>
        </w:rPr>
        <w:t>(</w:t>
      </w:r>
      <w:r w:rsidR="00D51CF0" w:rsidRPr="00D51CF0">
        <w:rPr>
          <w:rFonts w:ascii="Book Antiqua" w:eastAsia="Book Antiqua" w:hAnsi="Book Antiqua" w:cs="Book Antiqua"/>
          <w:bCs/>
          <w:noProof/>
          <w:sz w:val="20"/>
          <w:szCs w:val="20"/>
        </w:rPr>
        <w:t>2022)</w:t>
      </w:r>
      <w:r w:rsidR="0001513A">
        <w:rPr>
          <w:rFonts w:ascii="Book Antiqua" w:eastAsia="Book Antiqua" w:hAnsi="Book Antiqua" w:cs="Book Antiqua"/>
          <w:bCs/>
          <w:sz w:val="20"/>
          <w:szCs w:val="20"/>
        </w:rPr>
        <w:fldChar w:fldCharType="end"/>
      </w:r>
      <w:r w:rsidR="006650B1">
        <w:rPr>
          <w:rFonts w:ascii="Book Antiqua" w:eastAsia="Book Antiqua" w:hAnsi="Book Antiqua" w:cs="Book Antiqua"/>
          <w:bCs/>
          <w:sz w:val="20"/>
          <w:szCs w:val="20"/>
        </w:rPr>
        <w:t>,</w:t>
      </w:r>
      <w:r w:rsidR="0001513A">
        <w:rPr>
          <w:rFonts w:ascii="Book Antiqua" w:eastAsia="Book Antiqua" w:hAnsi="Book Antiqua" w:cs="Book Antiqua"/>
          <w:bCs/>
          <w:sz w:val="20"/>
          <w:szCs w:val="20"/>
        </w:rPr>
        <w:t xml:space="preserve"> </w:t>
      </w:r>
      <w:r w:rsidR="006650B1">
        <w:rPr>
          <w:rFonts w:ascii="Book Antiqua" w:eastAsia="Book Antiqua" w:hAnsi="Book Antiqua" w:cs="Book Antiqua"/>
          <w:bCs/>
          <w:sz w:val="20"/>
          <w:szCs w:val="20"/>
        </w:rPr>
        <w:t>i</w:t>
      </w:r>
      <w:r w:rsidR="000F325F" w:rsidRPr="003638C8">
        <w:rPr>
          <w:rFonts w:ascii="Book Antiqua" w:eastAsia="Book Antiqua" w:hAnsi="Book Antiqua" w:cs="Book Antiqua"/>
          <w:bCs/>
          <w:sz w:val="20"/>
          <w:szCs w:val="20"/>
        </w:rPr>
        <w:t>n this study, a linear double mass curve graph was used to ensure that station rainfall data was consistent and suitable for further analysis. This approach aligns with research findings in Gorontalo Province.</w:t>
      </w:r>
    </w:p>
    <w:p w14:paraId="1DD57248" w14:textId="2504A975" w:rsidR="00DE7A4C" w:rsidRDefault="00CF6CEC" w:rsidP="006650B1">
      <w:pPr>
        <w:ind w:firstLine="426"/>
        <w:jc w:val="both"/>
        <w:rPr>
          <w:rFonts w:ascii="Book Antiqua" w:hAnsi="Book Antiqua"/>
          <w:sz w:val="20"/>
          <w:szCs w:val="20"/>
          <w:lang w:val="en-ID"/>
        </w:rPr>
      </w:pPr>
      <w:r w:rsidRPr="003638C8">
        <w:rPr>
          <w:rFonts w:ascii="Book Antiqua" w:hAnsi="Book Antiqua"/>
          <w:sz w:val="20"/>
          <w:szCs w:val="20"/>
          <w:lang w:val="en-ID"/>
        </w:rPr>
        <w:t xml:space="preserve">The graph above shows that rainfall data across the entire study area is consistent and homogeneous. By meeting these </w:t>
      </w:r>
      <w:r w:rsidRPr="006650B1">
        <w:rPr>
          <w:rFonts w:ascii="Book Antiqua" w:eastAsia="Book Antiqua" w:hAnsi="Book Antiqua" w:cs="Book Antiqua"/>
          <w:bCs/>
          <w:sz w:val="20"/>
          <w:szCs w:val="20"/>
        </w:rPr>
        <w:t>consistency</w:t>
      </w:r>
      <w:r w:rsidRPr="003638C8">
        <w:rPr>
          <w:rFonts w:ascii="Book Antiqua" w:hAnsi="Book Antiqua"/>
          <w:sz w:val="20"/>
          <w:szCs w:val="20"/>
          <w:lang w:val="en-ID"/>
        </w:rPr>
        <w:t xml:space="preserve"> requirements, the rainfall data is suitable for use in climate classification analysis and climate pattern mapping in Gorontalo Province</w:t>
      </w:r>
      <w:r w:rsidR="00E33855">
        <w:rPr>
          <w:rFonts w:ascii="Book Antiqua" w:hAnsi="Book Antiqua"/>
          <w:sz w:val="20"/>
          <w:szCs w:val="20"/>
          <w:lang w:val="en-ID"/>
        </w:rPr>
        <w:t xml:space="preserve"> </w:t>
      </w:r>
      <w:r w:rsidR="00E33855">
        <w:rPr>
          <w:rFonts w:ascii="Book Antiqua" w:hAnsi="Book Antiqua"/>
          <w:sz w:val="20"/>
          <w:szCs w:val="20"/>
          <w:lang w:val="en-ID"/>
        </w:rPr>
        <w:fldChar w:fldCharType="begin" w:fldLock="1"/>
      </w:r>
      <w:r w:rsidR="00D51CF0">
        <w:rPr>
          <w:rFonts w:ascii="Book Antiqua" w:hAnsi="Book Antiqua"/>
          <w:sz w:val="20"/>
          <w:szCs w:val="20"/>
          <w:lang w:val="en-ID"/>
        </w:rPr>
        <w:instrText>ADDIN CSL_CITATION {"citationItems":[{"id":"ITEM-1","itemData":{"DOI":"10.1007/s42452-020-03924-3","ISBN":"0123456789","ISSN":"25233971","abstract":"Accurately forecasting rainfall trends is vital for the socio-economic development of a nation. Observed daily rainfall data from the Ghana Meteorological Agency (GMet) spanning 1980 – 2015 was deployed to study the spatio-temporal rainfall trend in the Odaw river basin (ORB) in Accra. Using Mann–Kendall (MK), Sen’s slope and set of homogeneity tests, the monthly, annual and decadal rainfall variability based on the indices – rainfall total, daily maximum and rainy/wet day count were examined. Principal Component Analysis (PCA) and wavelet (WT) analysis were applied on the monthly time series in order to verify the spatio-temporal variability. It was observed that a mean value ranging from 760 to 1200 mm, 77.1–94.4 mm and 56–90 day count were recorded for Annual Rainfall Total (ART), Annual Daily Maximum (ADM) and Annual Rainy Days (ARD) respectively in the ORB. Mann–Kendal test recorded an overall non-significant positive trend in the Odaw basin for ART and ARD with an average positive slope of 3.7 mm/year and 0.23 wet days/year and a significant positive trend with slope value of 0.55 mm/year for ADM in the basin. On the monthly scale, a significant upward trend was observed for the dry seasonal months; December, January and February for the Monthly Rainfall Total (MRT) and Monthly Daily Maximum (MDM) rainfall series during the period at all stations. Homogeneity for both annual and monthly rainfall time series were observed over the stations in the basin by the Pettitt, Alexandersson’s SNHT and Buishand’s tests. PCA revealed that the spatial variability of rainfall in ORB is very diverse with 55.9% of the variability located in the middle to highland part while 44.0% of the variation is occurring mostly in the low-lying area at the southeastern part of the ORB. The wavelet analysis also revealed a strong annual periodicity at all the selected stations in the basin. The outcome of this study provides valuable information to formulate adaptation measures through appropriate strategies for managing flood in the study area.","author":[{"dropping-particle":"","family":"Ackom","given":"Edward Kofi","non-dropping-particle":"","parse-names":false,"suffix":""},{"dropping-particle":"","family":"Adjei","given":"Kwaku Amaning","non-dropping-particle":"","parse-names":false,"suffix":""},{"dropping-particle":"","family":"Odai","given":"Samuel Nii","non-dropping-particle":"","parse-names":false,"suffix":""}],"container-title":"SN Applied Sciences","id":"ITEM-1","issue":"12","issued":{"date-parts":[["2020"]]},"page":"1-26","publisher":"Springer International Publishing","title":"Spatio-temporal rainfall trend and homogeneity analysis in flood prone area: case study of Odaw river basin-Ghana","type":"article-journal","volume":"2"},"uris":["http://www.mendeley.com/documents/?uuid=79a23ff8-7ecc-43b5-8eab-0d49c34630c1"]}],"mendeley":{"formattedCitation":"(Ackom et al., 2020)","plainTextFormattedCitation":"(Ackom et al., 2020)","previouslyFormattedCitation":"(Ackom et al., 2020)"},"properties":{"noteIndex":0},"schema":"https://github.com/citation-style-language/schema/raw/master/csl-citation.json"}</w:instrText>
      </w:r>
      <w:r w:rsidR="00E33855">
        <w:rPr>
          <w:rFonts w:ascii="Book Antiqua" w:hAnsi="Book Antiqua"/>
          <w:sz w:val="20"/>
          <w:szCs w:val="20"/>
          <w:lang w:val="en-ID"/>
        </w:rPr>
        <w:fldChar w:fldCharType="separate"/>
      </w:r>
      <w:r w:rsidR="00D51CF0" w:rsidRPr="00D51CF0">
        <w:rPr>
          <w:rFonts w:ascii="Book Antiqua" w:hAnsi="Book Antiqua"/>
          <w:noProof/>
          <w:sz w:val="20"/>
          <w:szCs w:val="20"/>
          <w:lang w:val="en-ID"/>
        </w:rPr>
        <w:t>(Ackom et al., 2020)</w:t>
      </w:r>
      <w:r w:rsidR="00E33855">
        <w:rPr>
          <w:rFonts w:ascii="Book Antiqua" w:hAnsi="Book Antiqua"/>
          <w:sz w:val="20"/>
          <w:szCs w:val="20"/>
          <w:lang w:val="en-ID"/>
        </w:rPr>
        <w:fldChar w:fldCharType="end"/>
      </w:r>
      <w:r w:rsidRPr="003638C8">
        <w:rPr>
          <w:rFonts w:ascii="Book Antiqua" w:hAnsi="Book Antiqua"/>
          <w:sz w:val="20"/>
          <w:szCs w:val="20"/>
          <w:lang w:val="en-ID"/>
        </w:rPr>
        <w:t>.</w:t>
      </w:r>
    </w:p>
    <w:p w14:paraId="426FB40D" w14:textId="77777777" w:rsidR="006650B1" w:rsidRDefault="006650B1" w:rsidP="006650B1">
      <w:pPr>
        <w:ind w:firstLine="426"/>
        <w:jc w:val="both"/>
        <w:rPr>
          <w:rFonts w:ascii="Book Antiqua" w:hAnsi="Book Antiqua"/>
          <w:sz w:val="20"/>
          <w:szCs w:val="20"/>
          <w:lang w:val="en-ID"/>
        </w:rPr>
      </w:pPr>
    </w:p>
    <w:p w14:paraId="46034BC3" w14:textId="3EE5B0F1" w:rsidR="006650B1" w:rsidRPr="006650B1" w:rsidRDefault="006650B1" w:rsidP="006650B1">
      <w:pPr>
        <w:jc w:val="both"/>
        <w:rPr>
          <w:rFonts w:ascii="Book Antiqua" w:eastAsia="Book Antiqua" w:hAnsi="Book Antiqua" w:cs="Book Antiqua"/>
          <w:bCs/>
          <w:sz w:val="20"/>
          <w:szCs w:val="20"/>
        </w:rPr>
      </w:pPr>
      <w:r w:rsidRPr="003638C8">
        <w:rPr>
          <w:rFonts w:ascii="Book Antiqua" w:hAnsi="Book Antiqua"/>
          <w:noProof/>
          <w:sz w:val="20"/>
          <w:szCs w:val="20"/>
        </w:rPr>
        <w:drawing>
          <wp:inline distT="0" distB="0" distL="0" distR="0" wp14:anchorId="0CC1D350" wp14:editId="261D4D59">
            <wp:extent cx="3116768" cy="2124075"/>
            <wp:effectExtent l="19050" t="19050" r="26670" b="9525"/>
            <wp:docPr id="1337370751"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735110" name="Gambar 10597351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120393" cy="2126546"/>
                    </a:xfrm>
                    <a:prstGeom prst="rect">
                      <a:avLst/>
                    </a:prstGeom>
                    <a:ln>
                      <a:solidFill>
                        <a:schemeClr val="bg1">
                          <a:lumMod val="95000"/>
                        </a:schemeClr>
                      </a:solidFill>
                    </a:ln>
                  </pic:spPr>
                </pic:pic>
              </a:graphicData>
            </a:graphic>
          </wp:inline>
        </w:drawing>
      </w:r>
    </w:p>
    <w:p w14:paraId="208DEBC1" w14:textId="16643715" w:rsidR="00087C86" w:rsidRPr="00EB214B" w:rsidRDefault="00087C86" w:rsidP="00471706">
      <w:pPr>
        <w:jc w:val="center"/>
        <w:rPr>
          <w:rFonts w:ascii="Book Antiqua" w:eastAsia="Book Antiqua" w:hAnsi="Book Antiqua" w:cs="Book Antiqua"/>
          <w:b/>
          <w:sz w:val="20"/>
          <w:szCs w:val="20"/>
        </w:rPr>
      </w:pPr>
      <w:r w:rsidRPr="00EB214B">
        <w:rPr>
          <w:rFonts w:ascii="Book Antiqua" w:hAnsi="Book Antiqua"/>
          <w:b/>
          <w:bCs/>
          <w:sz w:val="18"/>
          <w:szCs w:val="18"/>
        </w:rPr>
        <w:t xml:space="preserve">Figure </w:t>
      </w:r>
      <w:r w:rsidR="00D27F46">
        <w:rPr>
          <w:rFonts w:ascii="Book Antiqua" w:hAnsi="Book Antiqua"/>
          <w:b/>
          <w:bCs/>
          <w:sz w:val="18"/>
          <w:szCs w:val="18"/>
        </w:rPr>
        <w:t>9</w:t>
      </w:r>
      <w:r w:rsidRPr="00EB214B">
        <w:rPr>
          <w:rFonts w:ascii="Book Antiqua" w:hAnsi="Book Antiqua"/>
          <w:b/>
          <w:bCs/>
          <w:sz w:val="18"/>
          <w:szCs w:val="18"/>
        </w:rPr>
        <w:t>.</w:t>
      </w:r>
      <w:r w:rsidR="00751278" w:rsidRPr="00EB214B">
        <w:rPr>
          <w:rFonts w:ascii="Book Antiqua" w:hAnsi="Book Antiqua"/>
          <w:b/>
          <w:bCs/>
          <w:sz w:val="18"/>
          <w:szCs w:val="18"/>
        </w:rPr>
        <w:t xml:space="preserve"> </w:t>
      </w:r>
      <w:r w:rsidRPr="00EB214B">
        <w:rPr>
          <w:rFonts w:ascii="Book Antiqua" w:hAnsi="Book Antiqua"/>
          <w:sz w:val="18"/>
          <w:szCs w:val="18"/>
        </w:rPr>
        <w:t>Rainfall map for 2015-2024 in Gorontalo Province</w:t>
      </w:r>
    </w:p>
    <w:p w14:paraId="3C8733E2" w14:textId="77777777" w:rsidR="006650B1" w:rsidRPr="006650B1" w:rsidRDefault="006650B1" w:rsidP="006650B1">
      <w:pPr>
        <w:ind w:firstLine="426"/>
        <w:jc w:val="both"/>
        <w:rPr>
          <w:rFonts w:ascii="Book Antiqua" w:hAnsi="Book Antiqua"/>
          <w:sz w:val="20"/>
          <w:szCs w:val="20"/>
          <w:lang w:val="en-ID"/>
        </w:rPr>
      </w:pPr>
    </w:p>
    <w:p w14:paraId="4019BBD2" w14:textId="77777777" w:rsidR="00DD4B55" w:rsidRDefault="00E81BC7" w:rsidP="00DD4B55">
      <w:pPr>
        <w:ind w:firstLine="426"/>
        <w:jc w:val="both"/>
        <w:rPr>
          <w:rFonts w:ascii="Book Antiqua" w:hAnsi="Book Antiqua"/>
          <w:sz w:val="20"/>
          <w:szCs w:val="20"/>
        </w:rPr>
      </w:pPr>
      <w:r w:rsidRPr="006650B1">
        <w:rPr>
          <w:rFonts w:ascii="Book Antiqua" w:hAnsi="Book Antiqua"/>
          <w:sz w:val="20"/>
          <w:szCs w:val="20"/>
          <w:lang w:val="en-ID"/>
        </w:rPr>
        <w:t>The spatial distribution of rainfall in Gorontalo Province for the period 2015–2024 shows</w:t>
      </w:r>
      <w:r w:rsidRPr="00E81BC7">
        <w:rPr>
          <w:rFonts w:ascii="Book Antiqua" w:hAnsi="Book Antiqua"/>
          <w:sz w:val="20"/>
          <w:szCs w:val="20"/>
        </w:rPr>
        <w:t xml:space="preserve"> a clear variation influenced by topographic and geographic factors. Based on the interpolation map, higher rainfall intensity is predominantly observed in the eastern and central parts of the province, particularly in Bone </w:t>
      </w:r>
      <w:proofErr w:type="spellStart"/>
      <w:r w:rsidRPr="00E81BC7">
        <w:rPr>
          <w:rFonts w:ascii="Book Antiqua" w:hAnsi="Book Antiqua"/>
          <w:sz w:val="20"/>
          <w:szCs w:val="20"/>
        </w:rPr>
        <w:t>Bolango</w:t>
      </w:r>
      <w:proofErr w:type="spellEnd"/>
      <w:r w:rsidRPr="00E81BC7">
        <w:rPr>
          <w:rFonts w:ascii="Book Antiqua" w:hAnsi="Book Antiqua"/>
          <w:sz w:val="20"/>
          <w:szCs w:val="20"/>
        </w:rPr>
        <w:t xml:space="preserve"> and parts of </w:t>
      </w:r>
      <w:proofErr w:type="spellStart"/>
      <w:r w:rsidRPr="00E81BC7">
        <w:rPr>
          <w:rFonts w:ascii="Book Antiqua" w:hAnsi="Book Antiqua"/>
          <w:sz w:val="20"/>
          <w:szCs w:val="20"/>
        </w:rPr>
        <w:t>Pohuwato</w:t>
      </w:r>
      <w:proofErr w:type="spellEnd"/>
      <w:r w:rsidRPr="00E81BC7">
        <w:rPr>
          <w:rFonts w:ascii="Book Antiqua" w:hAnsi="Book Antiqua"/>
          <w:sz w:val="20"/>
          <w:szCs w:val="20"/>
        </w:rPr>
        <w:t xml:space="preserve">, which are characterized by mountainous and hilly terrain. These areas tend to receive more rainfall due to orographic effects, where moist air masses from surrounding seas are forced to rise and condense. In contrast, relatively lower rainfall is observed in coastal and lowland areas, especially in parts of </w:t>
      </w:r>
      <w:proofErr w:type="spellStart"/>
      <w:r w:rsidRPr="00E81BC7">
        <w:rPr>
          <w:rFonts w:ascii="Book Antiqua" w:hAnsi="Book Antiqua"/>
          <w:sz w:val="20"/>
          <w:szCs w:val="20"/>
        </w:rPr>
        <w:t>Boalemo</w:t>
      </w:r>
      <w:proofErr w:type="spellEnd"/>
      <w:r w:rsidRPr="00E81BC7">
        <w:rPr>
          <w:rFonts w:ascii="Book Antiqua" w:hAnsi="Book Antiqua"/>
          <w:sz w:val="20"/>
          <w:szCs w:val="20"/>
        </w:rPr>
        <w:t xml:space="preserve"> and western </w:t>
      </w:r>
      <w:proofErr w:type="spellStart"/>
      <w:r w:rsidRPr="00E81BC7">
        <w:rPr>
          <w:rFonts w:ascii="Book Antiqua" w:hAnsi="Book Antiqua"/>
          <w:sz w:val="20"/>
          <w:szCs w:val="20"/>
        </w:rPr>
        <w:t>Pohuwato</w:t>
      </w:r>
      <w:proofErr w:type="spellEnd"/>
      <w:r w:rsidRPr="00E81BC7">
        <w:rPr>
          <w:rFonts w:ascii="Book Antiqua" w:hAnsi="Book Antiqua"/>
          <w:sz w:val="20"/>
          <w:szCs w:val="20"/>
        </w:rPr>
        <w:t xml:space="preserve">, indicating weaker orographic influence and greater exposure to dry air circulation. The overall pattern suggests that rainfall distribution in Gorontalo is not uniform but forms a gradient from wetter inland and highland areas </w:t>
      </w:r>
      <w:r w:rsidRPr="00E81BC7">
        <w:rPr>
          <w:rFonts w:ascii="Book Antiqua" w:hAnsi="Book Antiqua"/>
          <w:sz w:val="20"/>
          <w:szCs w:val="20"/>
        </w:rPr>
        <w:t>to relatively drier coastal zones. This spatial variability has important implications for regional planning, particularly in determining agricultural suitability, water resource allocation, and identifying areas prone to hydrometeorological hazards such as floods in high rainfall zones and drought in low rainfall areas.</w:t>
      </w:r>
    </w:p>
    <w:p w14:paraId="5DB11752" w14:textId="77777777" w:rsidR="00DD4B55" w:rsidRDefault="00DD4B55" w:rsidP="00DD4B55">
      <w:pPr>
        <w:jc w:val="both"/>
        <w:rPr>
          <w:rFonts w:ascii="Book Antiqua" w:hAnsi="Book Antiqua"/>
          <w:sz w:val="20"/>
          <w:szCs w:val="20"/>
        </w:rPr>
      </w:pPr>
    </w:p>
    <w:p w14:paraId="7F9A1C68" w14:textId="26592E55" w:rsidR="00797090" w:rsidRDefault="00CF6CEC" w:rsidP="00DD4B55">
      <w:pPr>
        <w:jc w:val="both"/>
        <w:rPr>
          <w:rFonts w:ascii="Book Antiqua" w:hAnsi="Book Antiqua"/>
          <w:i/>
          <w:iCs/>
          <w:sz w:val="20"/>
          <w:szCs w:val="20"/>
        </w:rPr>
      </w:pPr>
      <w:r w:rsidRPr="00164C1B">
        <w:rPr>
          <w:rFonts w:ascii="Book Antiqua" w:hAnsi="Book Antiqua"/>
          <w:i/>
          <w:iCs/>
          <w:sz w:val="20"/>
          <w:szCs w:val="20"/>
        </w:rPr>
        <w:t>Schmidt-Ferguson Climate Type Q Value</w:t>
      </w:r>
      <w:r w:rsidR="00546DCD" w:rsidRPr="00164C1B">
        <w:rPr>
          <w:rFonts w:ascii="Book Antiqua" w:hAnsi="Book Antiqua"/>
          <w:i/>
          <w:iCs/>
          <w:sz w:val="20"/>
          <w:szCs w:val="20"/>
        </w:rPr>
        <w:t xml:space="preserve"> </w:t>
      </w:r>
      <w:r w:rsidRPr="00164C1B">
        <w:rPr>
          <w:rFonts w:ascii="Book Antiqua" w:hAnsi="Book Antiqua"/>
          <w:i/>
          <w:iCs/>
          <w:sz w:val="20"/>
          <w:szCs w:val="20"/>
        </w:rPr>
        <w:t>Classification in Gorontalo Province</w:t>
      </w:r>
    </w:p>
    <w:p w14:paraId="4D1E694D" w14:textId="1658FA6A" w:rsidR="00FD744E" w:rsidRPr="00DD4B55" w:rsidRDefault="006B384D" w:rsidP="00DD4B55">
      <w:pPr>
        <w:ind w:firstLine="426"/>
        <w:jc w:val="both"/>
        <w:rPr>
          <w:rFonts w:ascii="Book Antiqua" w:hAnsi="Book Antiqua"/>
          <w:sz w:val="20"/>
          <w:szCs w:val="20"/>
          <w:lang w:val="en-ID"/>
        </w:rPr>
      </w:pPr>
      <w:r w:rsidRPr="00DD4B55">
        <w:rPr>
          <w:rFonts w:ascii="Book Antiqua" w:hAnsi="Book Antiqua"/>
          <w:sz w:val="20"/>
          <w:szCs w:val="20"/>
          <w:lang w:val="en-ID"/>
        </w:rPr>
        <w:t>The results</w:t>
      </w:r>
      <w:r w:rsidR="00472C3D" w:rsidRPr="00DD4B55">
        <w:rPr>
          <w:rFonts w:ascii="Book Antiqua" w:hAnsi="Book Antiqua"/>
          <w:sz w:val="20"/>
          <w:szCs w:val="20"/>
          <w:lang w:val="en-ID"/>
        </w:rPr>
        <w:t xml:space="preserve"> table</w:t>
      </w:r>
      <w:r w:rsidR="00E81BC7" w:rsidRPr="00DD4B55">
        <w:rPr>
          <w:rFonts w:ascii="Book Antiqua" w:hAnsi="Book Antiqua"/>
          <w:sz w:val="20"/>
          <w:szCs w:val="20"/>
          <w:lang w:val="en-ID"/>
        </w:rPr>
        <w:t xml:space="preserve"> 2</w:t>
      </w:r>
      <w:r w:rsidRPr="00DD4B55">
        <w:rPr>
          <w:rFonts w:ascii="Book Antiqua" w:hAnsi="Book Antiqua"/>
          <w:sz w:val="20"/>
          <w:szCs w:val="20"/>
          <w:lang w:val="en-ID"/>
        </w:rPr>
        <w:t xml:space="preserve"> of the Schmidt–Ferguson climate classification based on Q index values show that Gorontalo Province exhibits significant spatial variability in climate types, ranging from very wet (A) to slightly dry (E). This variation reflects differences in rainfall distribution influenced by topography, elevation, and proximity to moisture sources such as the sea.</w:t>
      </w:r>
    </w:p>
    <w:p w14:paraId="2E613BE1" w14:textId="55B635F5" w:rsidR="003D7C78" w:rsidRPr="00DD4B55" w:rsidRDefault="006B384D" w:rsidP="00DD4B55">
      <w:pPr>
        <w:ind w:firstLine="426"/>
        <w:jc w:val="both"/>
        <w:rPr>
          <w:rFonts w:ascii="Book Antiqua" w:hAnsi="Book Antiqua"/>
          <w:sz w:val="20"/>
          <w:szCs w:val="20"/>
          <w:lang w:val="en-ID"/>
        </w:rPr>
      </w:pPr>
      <w:r w:rsidRPr="00DD4B55">
        <w:rPr>
          <w:rFonts w:ascii="Book Antiqua" w:hAnsi="Book Antiqua"/>
          <w:sz w:val="20"/>
          <w:szCs w:val="20"/>
          <w:lang w:val="en-ID"/>
        </w:rPr>
        <w:t xml:space="preserve">In North Gorontalo Regency, climate types are dominated by wet (B) and very wet (A) categories, with Q values ranging from 7.6 to 27.5. The presence of very wet conditions, particularly at East </w:t>
      </w:r>
      <w:proofErr w:type="spellStart"/>
      <w:r w:rsidRPr="00DD4B55">
        <w:rPr>
          <w:rFonts w:ascii="Book Antiqua" w:hAnsi="Book Antiqua"/>
          <w:sz w:val="20"/>
          <w:szCs w:val="20"/>
          <w:lang w:val="en-ID"/>
        </w:rPr>
        <w:t>Bulontiyo</w:t>
      </w:r>
      <w:proofErr w:type="spellEnd"/>
      <w:r w:rsidRPr="00DD4B55">
        <w:rPr>
          <w:rFonts w:ascii="Book Antiqua" w:hAnsi="Book Antiqua"/>
          <w:sz w:val="20"/>
          <w:szCs w:val="20"/>
          <w:lang w:val="en-ID"/>
        </w:rPr>
        <w:t xml:space="preserve"> (Q = 7.6), indicates minimal dry months and consistently high rainfall throughout the year. This pattern suggests strong maritime influence and possible orographic effects that enhance precipitation.</w:t>
      </w:r>
      <w:r w:rsidR="003D7C78" w:rsidRPr="00DD4B55">
        <w:rPr>
          <w:rFonts w:ascii="Book Antiqua" w:hAnsi="Book Antiqua"/>
          <w:sz w:val="20"/>
          <w:szCs w:val="20"/>
          <w:lang w:val="en-ID"/>
        </w:rPr>
        <w:t xml:space="preserve"> </w:t>
      </w:r>
    </w:p>
    <w:p w14:paraId="0E4C2EAB" w14:textId="5B2678FA" w:rsidR="006B384D" w:rsidRPr="00DD4B55" w:rsidRDefault="006B384D" w:rsidP="00DD4B55">
      <w:pPr>
        <w:ind w:firstLine="426"/>
        <w:jc w:val="both"/>
        <w:rPr>
          <w:rFonts w:ascii="Book Antiqua" w:hAnsi="Book Antiqua"/>
          <w:sz w:val="20"/>
          <w:szCs w:val="20"/>
          <w:lang w:val="en-ID"/>
        </w:rPr>
      </w:pPr>
      <w:r w:rsidRPr="00DD4B55">
        <w:rPr>
          <w:rFonts w:ascii="Book Antiqua" w:hAnsi="Book Antiqua"/>
          <w:sz w:val="20"/>
          <w:szCs w:val="20"/>
          <w:lang w:val="en-ID"/>
        </w:rPr>
        <w:t>In Gorontalo Regency, a wider variation of climate types is observed, ranging from wet (B), moderately wet (C), to moderate (D), with Q values between 17.7 and 93.6. Most stations fall into the moderately wet (C) category, indicating a more balanced distribution between wet and dry months. The occurrence of moderate climate (D), such as in Lamu (Q = 93.6), reflects longer dry periods, likely associated with lower elevation or reduced exposure to moist air masses.</w:t>
      </w:r>
    </w:p>
    <w:p w14:paraId="2913B552" w14:textId="6AB823FD" w:rsidR="00C36A8F" w:rsidRPr="00DD4B55" w:rsidRDefault="00C36A8F" w:rsidP="00DD4B55">
      <w:pPr>
        <w:ind w:firstLine="426"/>
        <w:jc w:val="both"/>
        <w:rPr>
          <w:rFonts w:ascii="Book Antiqua" w:hAnsi="Book Antiqua"/>
          <w:sz w:val="20"/>
          <w:szCs w:val="20"/>
          <w:lang w:val="en-ID"/>
        </w:rPr>
      </w:pPr>
      <w:r w:rsidRPr="00DD4B55">
        <w:rPr>
          <w:rFonts w:ascii="Book Antiqua" w:hAnsi="Book Antiqua"/>
          <w:sz w:val="20"/>
          <w:szCs w:val="20"/>
          <w:lang w:val="en-ID"/>
        </w:rPr>
        <w:t xml:space="preserve">Bone </w:t>
      </w:r>
      <w:proofErr w:type="spellStart"/>
      <w:r w:rsidRPr="00DD4B55">
        <w:rPr>
          <w:rFonts w:ascii="Book Antiqua" w:hAnsi="Book Antiqua"/>
          <w:sz w:val="20"/>
          <w:szCs w:val="20"/>
          <w:lang w:val="en-ID"/>
        </w:rPr>
        <w:t>Bolango</w:t>
      </w:r>
      <w:proofErr w:type="spellEnd"/>
      <w:r w:rsidRPr="00DD4B55">
        <w:rPr>
          <w:rFonts w:ascii="Book Antiqua" w:hAnsi="Book Antiqua"/>
          <w:sz w:val="20"/>
          <w:szCs w:val="20"/>
          <w:lang w:val="en-ID"/>
        </w:rPr>
        <w:t xml:space="preserve"> Regency is generally dominated by wet (B) and moderately wet (C) climates, with one station classified as very wet (A), namely </w:t>
      </w:r>
      <w:proofErr w:type="spellStart"/>
      <w:r w:rsidRPr="00DD4B55">
        <w:rPr>
          <w:rFonts w:ascii="Book Antiqua" w:hAnsi="Book Antiqua"/>
          <w:sz w:val="20"/>
          <w:szCs w:val="20"/>
          <w:lang w:val="en-ID"/>
        </w:rPr>
        <w:t>Pinogu</w:t>
      </w:r>
      <w:proofErr w:type="spellEnd"/>
      <w:r w:rsidRPr="00DD4B55">
        <w:rPr>
          <w:rFonts w:ascii="Book Antiqua" w:hAnsi="Book Antiqua"/>
          <w:sz w:val="20"/>
          <w:szCs w:val="20"/>
          <w:lang w:val="en-ID"/>
        </w:rPr>
        <w:t xml:space="preserve"> (Q = 9.1). This condition is strongly influenced by mountainous topography, which enhances rainfall through orographic processes. Areas with higher elevation tend to receive more consistent rainfall compared to surrounding regions.</w:t>
      </w:r>
    </w:p>
    <w:p w14:paraId="1F2C3D78" w14:textId="3E401F93" w:rsidR="00C36A8F" w:rsidRPr="00DD4B55" w:rsidRDefault="00C36A8F" w:rsidP="00DD4B55">
      <w:pPr>
        <w:ind w:firstLine="426"/>
        <w:jc w:val="both"/>
        <w:rPr>
          <w:rFonts w:ascii="Book Antiqua" w:hAnsi="Book Antiqua"/>
          <w:sz w:val="20"/>
          <w:szCs w:val="20"/>
          <w:lang w:val="en-ID"/>
        </w:rPr>
      </w:pPr>
      <w:proofErr w:type="spellStart"/>
      <w:r w:rsidRPr="00DD4B55">
        <w:rPr>
          <w:rFonts w:ascii="Book Antiqua" w:hAnsi="Book Antiqua"/>
          <w:sz w:val="20"/>
          <w:szCs w:val="20"/>
          <w:lang w:val="en-ID"/>
        </w:rPr>
        <w:t>Boalemo</w:t>
      </w:r>
      <w:proofErr w:type="spellEnd"/>
      <w:r w:rsidRPr="00DD4B55">
        <w:rPr>
          <w:rFonts w:ascii="Book Antiqua" w:hAnsi="Book Antiqua"/>
          <w:sz w:val="20"/>
          <w:szCs w:val="20"/>
          <w:lang w:val="en-ID"/>
        </w:rPr>
        <w:t xml:space="preserve"> Regency shows the highest variability, with climate types ranging from very wet (A) to slightly dry (E). Notably, </w:t>
      </w:r>
      <w:proofErr w:type="spellStart"/>
      <w:r w:rsidRPr="00DD4B55">
        <w:rPr>
          <w:rFonts w:ascii="Book Antiqua" w:hAnsi="Book Antiqua"/>
          <w:sz w:val="20"/>
          <w:szCs w:val="20"/>
          <w:lang w:val="en-ID"/>
        </w:rPr>
        <w:t>Modelomo</w:t>
      </w:r>
      <w:proofErr w:type="spellEnd"/>
      <w:r w:rsidRPr="00DD4B55">
        <w:rPr>
          <w:rFonts w:ascii="Book Antiqua" w:hAnsi="Book Antiqua"/>
          <w:sz w:val="20"/>
          <w:szCs w:val="20"/>
          <w:lang w:val="en-ID"/>
        </w:rPr>
        <w:t xml:space="preserve"> (Q = 119) represents the driest condition (E), indicating a significant number of dry months. This contrast suggests that </w:t>
      </w:r>
      <w:proofErr w:type="spellStart"/>
      <w:r w:rsidRPr="00DD4B55">
        <w:rPr>
          <w:rFonts w:ascii="Book Antiqua" w:hAnsi="Book Antiqua"/>
          <w:sz w:val="20"/>
          <w:szCs w:val="20"/>
          <w:lang w:val="en-ID"/>
        </w:rPr>
        <w:t>Boalemo</w:t>
      </w:r>
      <w:proofErr w:type="spellEnd"/>
      <w:r w:rsidRPr="00DD4B55">
        <w:rPr>
          <w:rFonts w:ascii="Book Antiqua" w:hAnsi="Book Antiqua"/>
          <w:sz w:val="20"/>
          <w:szCs w:val="20"/>
          <w:lang w:val="en-ID"/>
        </w:rPr>
        <w:t xml:space="preserve"> is influenced by both coastal dryness and localized topographic effects, resulting in heterogeneous climate conditions.</w:t>
      </w:r>
    </w:p>
    <w:p w14:paraId="50B0900B" w14:textId="7F367DDE" w:rsidR="006B384D" w:rsidRDefault="00C36A8F" w:rsidP="00DD4B55">
      <w:pPr>
        <w:ind w:firstLine="426"/>
        <w:jc w:val="both"/>
        <w:rPr>
          <w:rFonts w:ascii="Book Antiqua" w:hAnsi="Book Antiqua"/>
          <w:sz w:val="20"/>
          <w:szCs w:val="20"/>
          <w:lang w:val="en-ID"/>
        </w:rPr>
      </w:pPr>
      <w:r w:rsidRPr="00DD4B55">
        <w:rPr>
          <w:rFonts w:ascii="Book Antiqua" w:hAnsi="Book Antiqua"/>
          <w:sz w:val="20"/>
          <w:szCs w:val="20"/>
          <w:lang w:val="en-ID"/>
        </w:rPr>
        <w:t xml:space="preserve">In </w:t>
      </w:r>
      <w:proofErr w:type="spellStart"/>
      <w:r w:rsidRPr="00DD4B55">
        <w:rPr>
          <w:rFonts w:ascii="Book Antiqua" w:hAnsi="Book Antiqua"/>
          <w:sz w:val="20"/>
          <w:szCs w:val="20"/>
          <w:lang w:val="en-ID"/>
        </w:rPr>
        <w:t>Pohuwato</w:t>
      </w:r>
      <w:proofErr w:type="spellEnd"/>
      <w:r w:rsidRPr="00DD4B55">
        <w:rPr>
          <w:rFonts w:ascii="Book Antiqua" w:hAnsi="Book Antiqua"/>
          <w:sz w:val="20"/>
          <w:szCs w:val="20"/>
          <w:lang w:val="en-ID"/>
        </w:rPr>
        <w:t xml:space="preserve"> Regency, climate types range from very wet (A) to moderate (D), with most stations classified as wet (B) and moderately wet (C). The presence of moderate climate in North </w:t>
      </w:r>
      <w:proofErr w:type="spellStart"/>
      <w:r w:rsidRPr="00DD4B55">
        <w:rPr>
          <w:rFonts w:ascii="Book Antiqua" w:hAnsi="Book Antiqua"/>
          <w:sz w:val="20"/>
          <w:szCs w:val="20"/>
          <w:lang w:val="en-ID"/>
        </w:rPr>
        <w:t>Lemito</w:t>
      </w:r>
      <w:proofErr w:type="spellEnd"/>
      <w:r w:rsidRPr="00DD4B55">
        <w:rPr>
          <w:rFonts w:ascii="Book Antiqua" w:hAnsi="Book Antiqua"/>
          <w:sz w:val="20"/>
          <w:szCs w:val="20"/>
          <w:lang w:val="en-ID"/>
        </w:rPr>
        <w:t xml:space="preserve"> (Q = 67.3) indicates relatively longer dry periods, while very wet </w:t>
      </w:r>
      <w:r w:rsidRPr="00DD4B55">
        <w:rPr>
          <w:rFonts w:ascii="Book Antiqua" w:hAnsi="Book Antiqua"/>
          <w:sz w:val="20"/>
          <w:szCs w:val="20"/>
          <w:lang w:val="en-ID"/>
        </w:rPr>
        <w:lastRenderedPageBreak/>
        <w:t xml:space="preserve">conditions in </w:t>
      </w:r>
      <w:proofErr w:type="spellStart"/>
      <w:r w:rsidRPr="00DD4B55">
        <w:rPr>
          <w:rFonts w:ascii="Book Antiqua" w:hAnsi="Book Antiqua"/>
          <w:sz w:val="20"/>
          <w:szCs w:val="20"/>
          <w:lang w:val="en-ID"/>
        </w:rPr>
        <w:t>Kalimas</w:t>
      </w:r>
      <w:proofErr w:type="spellEnd"/>
      <w:r w:rsidRPr="00DD4B55">
        <w:rPr>
          <w:rFonts w:ascii="Book Antiqua" w:hAnsi="Book Antiqua"/>
          <w:sz w:val="20"/>
          <w:szCs w:val="20"/>
          <w:lang w:val="en-ID"/>
        </w:rPr>
        <w:t xml:space="preserve"> (Q = 13.3) reflect high rainfall intensity. This variation highlights the transitional nature of the region between mountainous and coastal influences.</w:t>
      </w:r>
    </w:p>
    <w:p w14:paraId="45C52066" w14:textId="77777777" w:rsidR="00CD52AC" w:rsidRDefault="00CD52AC" w:rsidP="00DD4B55">
      <w:pPr>
        <w:ind w:firstLine="426"/>
        <w:jc w:val="both"/>
        <w:rPr>
          <w:rFonts w:ascii="Book Antiqua" w:hAnsi="Book Antiqua"/>
          <w:sz w:val="20"/>
          <w:szCs w:val="20"/>
          <w:lang w:val="en-ID"/>
        </w:rPr>
      </w:pPr>
    </w:p>
    <w:p w14:paraId="4031EC82" w14:textId="77777777" w:rsidR="00DD4B55" w:rsidRPr="00DD4B55" w:rsidRDefault="00DD4B55" w:rsidP="00DD4B55">
      <w:pPr>
        <w:jc w:val="both"/>
        <w:rPr>
          <w:rFonts w:ascii="Book Antiqua" w:hAnsi="Book Antiqua"/>
          <w:sz w:val="20"/>
          <w:szCs w:val="18"/>
        </w:rPr>
      </w:pPr>
      <w:r w:rsidRPr="00DD4B55">
        <w:rPr>
          <w:rFonts w:ascii="Book Antiqua" w:eastAsia="Book Antiqua" w:hAnsi="Book Antiqua" w:cs="Book Antiqua"/>
          <w:b/>
          <w:sz w:val="20"/>
          <w:szCs w:val="18"/>
        </w:rPr>
        <w:t>Table 2</w:t>
      </w:r>
      <w:r w:rsidRPr="00DD4B55">
        <w:rPr>
          <w:rFonts w:ascii="Book Antiqua" w:eastAsia="Book Antiqua" w:hAnsi="Book Antiqua" w:cs="Book Antiqua"/>
          <w:bCs/>
          <w:sz w:val="20"/>
          <w:szCs w:val="18"/>
        </w:rPr>
        <w:t xml:space="preserve">. Q Values </w:t>
      </w:r>
      <w:r w:rsidRPr="00DD4B55">
        <w:rPr>
          <w:rFonts w:eastAsia="Book Antiqua"/>
          <w:bCs/>
          <w:sz w:val="20"/>
          <w:szCs w:val="18"/>
        </w:rPr>
        <w:t>​​</w:t>
      </w:r>
      <w:r w:rsidRPr="00DD4B55">
        <w:rPr>
          <w:rFonts w:ascii="Book Antiqua" w:eastAsia="Book Antiqua" w:hAnsi="Book Antiqua" w:cs="Book Antiqua"/>
          <w:bCs/>
          <w:sz w:val="20"/>
          <w:szCs w:val="18"/>
        </w:rPr>
        <w:t>of Schmidt-Ferguson Climate Types in Gorontalo Province</w:t>
      </w:r>
    </w:p>
    <w:tbl>
      <w:tblPr>
        <w:tblStyle w:val="PlainTable2"/>
        <w:tblW w:w="5239" w:type="pct"/>
        <w:tblLook w:val="06A0" w:firstRow="1" w:lastRow="0" w:firstColumn="1" w:lastColumn="0" w:noHBand="1" w:noVBand="1"/>
      </w:tblPr>
      <w:tblGrid>
        <w:gridCol w:w="1844"/>
        <w:gridCol w:w="1360"/>
        <w:gridCol w:w="1758"/>
      </w:tblGrid>
      <w:tr w:rsidR="00DD4B55" w:rsidRPr="00164C1B" w14:paraId="69D907DC" w14:textId="77777777" w:rsidTr="00083B4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59" w:type="pct"/>
            <w:shd w:val="clear" w:color="auto" w:fill="FFFFFF" w:themeFill="background1"/>
          </w:tcPr>
          <w:p w14:paraId="564AFEEF" w14:textId="77777777" w:rsidR="00DD4B55" w:rsidRPr="00164C1B" w:rsidRDefault="00DD4B55" w:rsidP="00083B49">
            <w:pPr>
              <w:ind w:left="-108"/>
              <w:rPr>
                <w:rFonts w:ascii="Book Antiqua" w:hAnsi="Book Antiqua"/>
                <w:b w:val="0"/>
                <w:bCs w:val="0"/>
                <w:color w:val="000000" w:themeColor="text1"/>
                <w:sz w:val="18"/>
                <w:szCs w:val="18"/>
              </w:rPr>
            </w:pPr>
            <w:r w:rsidRPr="00164C1B">
              <w:rPr>
                <w:rFonts w:ascii="Book Antiqua" w:hAnsi="Book Antiqua"/>
                <w:b w:val="0"/>
                <w:bCs w:val="0"/>
                <w:color w:val="000000" w:themeColor="text1"/>
                <w:sz w:val="18"/>
                <w:szCs w:val="18"/>
              </w:rPr>
              <w:t>CH Station Name</w:t>
            </w:r>
          </w:p>
        </w:tc>
        <w:tc>
          <w:tcPr>
            <w:tcW w:w="1370" w:type="pct"/>
            <w:shd w:val="clear" w:color="auto" w:fill="FFFFFF" w:themeFill="background1"/>
          </w:tcPr>
          <w:p w14:paraId="1622EA26" w14:textId="77777777" w:rsidR="00DD4B55" w:rsidRPr="00164C1B" w:rsidRDefault="00DD4B55" w:rsidP="00083B49">
            <w:pPr>
              <w:jc w:val="right"/>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000000" w:themeColor="text1"/>
                <w:sz w:val="18"/>
                <w:szCs w:val="18"/>
              </w:rPr>
            </w:pPr>
            <w:r w:rsidRPr="00164C1B">
              <w:rPr>
                <w:rFonts w:ascii="Book Antiqua" w:hAnsi="Book Antiqua"/>
                <w:b w:val="0"/>
                <w:bCs w:val="0"/>
                <w:color w:val="000000" w:themeColor="text1"/>
                <w:sz w:val="18"/>
                <w:szCs w:val="18"/>
              </w:rPr>
              <w:t>Q value</w:t>
            </w:r>
          </w:p>
        </w:tc>
        <w:tc>
          <w:tcPr>
            <w:tcW w:w="1770" w:type="pct"/>
            <w:shd w:val="clear" w:color="auto" w:fill="FFFFFF" w:themeFill="background1"/>
          </w:tcPr>
          <w:p w14:paraId="547D66AE" w14:textId="77777777" w:rsidR="00DD4B55" w:rsidRPr="00164C1B" w:rsidRDefault="00DD4B55" w:rsidP="00083B49">
            <w:pPr>
              <w:pStyle w:val="Body"/>
              <w:ind w:left="-140" w:right="-102"/>
              <w:jc w:val="right"/>
              <w:cnfStyle w:val="100000000000" w:firstRow="1" w:lastRow="0" w:firstColumn="0" w:lastColumn="0" w:oddVBand="0" w:evenVBand="0" w:oddHBand="0" w:evenHBand="0" w:firstRowFirstColumn="0" w:firstRowLastColumn="0" w:lastRowFirstColumn="0" w:lastRowLastColumn="0"/>
              <w:rPr>
                <w:rFonts w:ascii="Book Antiqua" w:hAnsi="Book Antiqua"/>
                <w:b w:val="0"/>
                <w:bCs w:val="0"/>
                <w:color w:val="000000" w:themeColor="text1"/>
                <w:sz w:val="18"/>
                <w:szCs w:val="18"/>
              </w:rPr>
            </w:pPr>
            <w:r w:rsidRPr="00164C1B">
              <w:rPr>
                <w:rFonts w:ascii="Book Antiqua" w:hAnsi="Book Antiqua"/>
                <w:b w:val="0"/>
                <w:bCs w:val="0"/>
                <w:color w:val="000000" w:themeColor="text1"/>
                <w:sz w:val="18"/>
                <w:szCs w:val="18"/>
              </w:rPr>
              <w:t>Climate Type</w:t>
            </w:r>
          </w:p>
        </w:tc>
      </w:tr>
      <w:tr w:rsidR="00DD4B55" w:rsidRPr="00164C1B" w14:paraId="5B45FE62"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tcPr>
          <w:p w14:paraId="460F7D48" w14:textId="77777777" w:rsidR="00DD4B55" w:rsidRPr="00164C1B" w:rsidRDefault="00DD4B55" w:rsidP="00083B49">
            <w:pPr>
              <w:ind w:left="-108"/>
              <w:rPr>
                <w:rFonts w:ascii="Book Antiqua" w:hAnsi="Book Antiqua"/>
                <w:b w:val="0"/>
                <w:bCs w:val="0"/>
                <w:sz w:val="18"/>
                <w:szCs w:val="18"/>
              </w:rPr>
            </w:pPr>
            <w:r w:rsidRPr="00164C1B">
              <w:rPr>
                <w:rFonts w:ascii="Book Antiqua" w:hAnsi="Book Antiqua"/>
                <w:b w:val="0"/>
                <w:bCs w:val="0"/>
                <w:sz w:val="18"/>
                <w:szCs w:val="18"/>
              </w:rPr>
              <w:t>North Gorontalo Regency Rainfall Station</w:t>
            </w:r>
          </w:p>
        </w:tc>
      </w:tr>
      <w:tr w:rsidR="00DD4B55" w:rsidRPr="00164C1B" w14:paraId="4E9B76ED"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273CDD87"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Buloila</w:t>
            </w:r>
            <w:proofErr w:type="spellEnd"/>
          </w:p>
        </w:tc>
        <w:tc>
          <w:tcPr>
            <w:tcW w:w="1370" w:type="pct"/>
          </w:tcPr>
          <w:p w14:paraId="650B5B6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24.3</w:t>
            </w:r>
          </w:p>
        </w:tc>
        <w:tc>
          <w:tcPr>
            <w:tcW w:w="1770" w:type="pct"/>
          </w:tcPr>
          <w:p w14:paraId="7FBE9D0A"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46F40E3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3D2E4A53" w14:textId="77777777" w:rsidR="00DD4B55" w:rsidRPr="00164C1B" w:rsidRDefault="00DD4B55" w:rsidP="00083B49">
            <w:pPr>
              <w:ind w:left="-108"/>
              <w:rPr>
                <w:rFonts w:ascii="Book Antiqua" w:hAnsi="Book Antiqua"/>
                <w:b w:val="0"/>
                <w:bCs w:val="0"/>
                <w:sz w:val="18"/>
                <w:szCs w:val="18"/>
              </w:rPr>
            </w:pPr>
            <w:r w:rsidRPr="00164C1B">
              <w:rPr>
                <w:rFonts w:ascii="Book Antiqua" w:hAnsi="Book Antiqua"/>
                <w:b w:val="0"/>
                <w:bCs w:val="0"/>
                <w:sz w:val="18"/>
                <w:szCs w:val="18"/>
              </w:rPr>
              <w:t xml:space="preserve">East </w:t>
            </w:r>
            <w:proofErr w:type="spellStart"/>
            <w:r w:rsidRPr="00164C1B">
              <w:rPr>
                <w:rFonts w:ascii="Book Antiqua" w:hAnsi="Book Antiqua"/>
                <w:b w:val="0"/>
                <w:bCs w:val="0"/>
                <w:sz w:val="18"/>
                <w:szCs w:val="18"/>
              </w:rPr>
              <w:t>Bulontiyo</w:t>
            </w:r>
            <w:proofErr w:type="spellEnd"/>
          </w:p>
        </w:tc>
        <w:tc>
          <w:tcPr>
            <w:tcW w:w="1370" w:type="pct"/>
          </w:tcPr>
          <w:p w14:paraId="33E61F0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7.6</w:t>
            </w:r>
          </w:p>
        </w:tc>
        <w:tc>
          <w:tcPr>
            <w:tcW w:w="1770" w:type="pct"/>
          </w:tcPr>
          <w:p w14:paraId="1E413752"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(A)</w:t>
            </w:r>
          </w:p>
        </w:tc>
      </w:tr>
      <w:tr w:rsidR="00DD4B55" w:rsidRPr="00164C1B" w14:paraId="56FBD967"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1BD2547C" w14:textId="77777777" w:rsidR="00DD4B55" w:rsidRPr="00164C1B" w:rsidRDefault="00DD4B55" w:rsidP="00083B49">
            <w:pPr>
              <w:ind w:left="-108"/>
              <w:rPr>
                <w:rFonts w:ascii="Book Antiqua" w:hAnsi="Book Antiqua"/>
                <w:b w:val="0"/>
                <w:bCs w:val="0"/>
                <w:sz w:val="18"/>
                <w:szCs w:val="18"/>
              </w:rPr>
            </w:pPr>
            <w:r w:rsidRPr="00164C1B">
              <w:rPr>
                <w:rFonts w:ascii="Book Antiqua" w:hAnsi="Book Antiqua"/>
                <w:b w:val="0"/>
                <w:bCs w:val="0"/>
                <w:sz w:val="18"/>
                <w:szCs w:val="18"/>
              </w:rPr>
              <w:t>Study</w:t>
            </w:r>
          </w:p>
        </w:tc>
        <w:tc>
          <w:tcPr>
            <w:tcW w:w="1370" w:type="pct"/>
          </w:tcPr>
          <w:p w14:paraId="6EFFE03A"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17.2</w:t>
            </w:r>
          </w:p>
        </w:tc>
        <w:tc>
          <w:tcPr>
            <w:tcW w:w="1770" w:type="pct"/>
          </w:tcPr>
          <w:p w14:paraId="694A0056"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5B8B2152"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16D02F6B"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Molingkopoto</w:t>
            </w:r>
            <w:proofErr w:type="spellEnd"/>
          </w:p>
        </w:tc>
        <w:tc>
          <w:tcPr>
            <w:tcW w:w="1370" w:type="pct"/>
          </w:tcPr>
          <w:p w14:paraId="4BB7DE0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27.5</w:t>
            </w:r>
          </w:p>
        </w:tc>
        <w:tc>
          <w:tcPr>
            <w:tcW w:w="1770" w:type="pct"/>
          </w:tcPr>
          <w:p w14:paraId="67CDC1A7"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689649AE"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tcPr>
          <w:p w14:paraId="038A3816" w14:textId="77777777" w:rsidR="00DD4B55" w:rsidRPr="00164C1B" w:rsidRDefault="00DD4B55" w:rsidP="00083B49">
            <w:pPr>
              <w:ind w:left="-108"/>
              <w:rPr>
                <w:rFonts w:ascii="Book Antiqua" w:hAnsi="Book Antiqua"/>
                <w:sz w:val="18"/>
                <w:szCs w:val="18"/>
              </w:rPr>
            </w:pPr>
            <w:r w:rsidRPr="00164C1B">
              <w:rPr>
                <w:rFonts w:ascii="Book Antiqua" w:hAnsi="Book Antiqua"/>
                <w:b w:val="0"/>
                <w:bCs w:val="0"/>
                <w:sz w:val="18"/>
                <w:szCs w:val="18"/>
              </w:rPr>
              <w:t>Gorontalo Regency Rainfall Station</w:t>
            </w:r>
          </w:p>
        </w:tc>
      </w:tr>
      <w:tr w:rsidR="00DD4B55" w:rsidRPr="00164C1B" w14:paraId="27A833C6"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895800F" w14:textId="77777777" w:rsidR="00DD4B55" w:rsidRPr="00164C1B" w:rsidRDefault="00DD4B55" w:rsidP="00083B49">
            <w:pPr>
              <w:ind w:left="-108"/>
              <w:rPr>
                <w:rFonts w:ascii="Book Antiqua" w:hAnsi="Book Antiqua" w:cs="Times New Roman"/>
                <w:b w:val="0"/>
                <w:bCs w:val="0"/>
                <w:sz w:val="18"/>
                <w:szCs w:val="18"/>
              </w:rPr>
            </w:pPr>
            <w:r w:rsidRPr="00164C1B">
              <w:rPr>
                <w:rFonts w:ascii="Book Antiqua" w:hAnsi="Book Antiqua" w:cs="Times New Roman"/>
                <w:b w:val="0"/>
                <w:bCs w:val="0"/>
                <w:sz w:val="18"/>
                <w:szCs w:val="18"/>
              </w:rPr>
              <w:t xml:space="preserve">South </w:t>
            </w:r>
            <w:proofErr w:type="spellStart"/>
            <w:r w:rsidRPr="00164C1B">
              <w:rPr>
                <w:rFonts w:ascii="Book Antiqua" w:hAnsi="Book Antiqua" w:cs="Times New Roman"/>
                <w:b w:val="0"/>
                <w:bCs w:val="0"/>
                <w:sz w:val="18"/>
                <w:szCs w:val="18"/>
              </w:rPr>
              <w:t>Dulamayo</w:t>
            </w:r>
            <w:proofErr w:type="spellEnd"/>
          </w:p>
        </w:tc>
        <w:tc>
          <w:tcPr>
            <w:tcW w:w="1370" w:type="pct"/>
          </w:tcPr>
          <w:p w14:paraId="4A5EB636"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17.7</w:t>
            </w:r>
          </w:p>
        </w:tc>
        <w:tc>
          <w:tcPr>
            <w:tcW w:w="1770" w:type="pct"/>
          </w:tcPr>
          <w:p w14:paraId="2E810BA3"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7C5ABBF6"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AD6F84F"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Bungalow</w:t>
            </w:r>
          </w:p>
        </w:tc>
        <w:tc>
          <w:tcPr>
            <w:tcW w:w="1370" w:type="pct"/>
          </w:tcPr>
          <w:p w14:paraId="2400F68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53.6</w:t>
            </w:r>
          </w:p>
        </w:tc>
        <w:tc>
          <w:tcPr>
            <w:tcW w:w="1770" w:type="pct"/>
          </w:tcPr>
          <w:p w14:paraId="53FF1879"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64FA495B"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3FE9BCAF"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Your Great Content</w:t>
            </w:r>
          </w:p>
        </w:tc>
        <w:tc>
          <w:tcPr>
            <w:tcW w:w="1370" w:type="pct"/>
          </w:tcPr>
          <w:p w14:paraId="04F86A35"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38.7</w:t>
            </w:r>
          </w:p>
        </w:tc>
        <w:tc>
          <w:tcPr>
            <w:tcW w:w="1770" w:type="pct"/>
          </w:tcPr>
          <w:p w14:paraId="490F248E"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3B5B6FB6"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0DD05DE"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Biyonga</w:t>
            </w:r>
            <w:proofErr w:type="spellEnd"/>
          </w:p>
        </w:tc>
        <w:tc>
          <w:tcPr>
            <w:tcW w:w="1370" w:type="pct"/>
          </w:tcPr>
          <w:p w14:paraId="6A36FF5F"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29.3</w:t>
            </w:r>
          </w:p>
        </w:tc>
        <w:tc>
          <w:tcPr>
            <w:tcW w:w="1770" w:type="pct"/>
          </w:tcPr>
          <w:p w14:paraId="5AEFC4BD"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6B4C5F1A"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3DD965EB"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Dulamayo</w:t>
            </w:r>
            <w:proofErr w:type="spellEnd"/>
          </w:p>
        </w:tc>
        <w:tc>
          <w:tcPr>
            <w:tcW w:w="1370" w:type="pct"/>
          </w:tcPr>
          <w:p w14:paraId="5827C92D"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54.2</w:t>
            </w:r>
          </w:p>
        </w:tc>
        <w:tc>
          <w:tcPr>
            <w:tcW w:w="1770" w:type="pct"/>
          </w:tcPr>
          <w:p w14:paraId="095DB744"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2861F7B9"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BE95982"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Pilolalenga</w:t>
            </w:r>
            <w:proofErr w:type="spellEnd"/>
          </w:p>
        </w:tc>
        <w:tc>
          <w:tcPr>
            <w:tcW w:w="1370" w:type="pct"/>
          </w:tcPr>
          <w:p w14:paraId="721BD42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50.8</w:t>
            </w:r>
          </w:p>
        </w:tc>
        <w:tc>
          <w:tcPr>
            <w:tcW w:w="1770" w:type="pct"/>
          </w:tcPr>
          <w:p w14:paraId="30A7973E"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341E64FD"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516931A6"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 xml:space="preserve">East </w:t>
            </w:r>
            <w:proofErr w:type="spellStart"/>
            <w:r w:rsidRPr="00164C1B">
              <w:rPr>
                <w:rFonts w:ascii="Book Antiqua" w:hAnsi="Book Antiqua" w:cs="Times New Roman"/>
                <w:b w:val="0"/>
                <w:bCs w:val="0"/>
                <w:sz w:val="18"/>
                <w:szCs w:val="18"/>
              </w:rPr>
              <w:t>Tabong</w:t>
            </w:r>
            <w:proofErr w:type="spellEnd"/>
          </w:p>
        </w:tc>
        <w:tc>
          <w:tcPr>
            <w:tcW w:w="1370" w:type="pct"/>
          </w:tcPr>
          <w:p w14:paraId="4BA2850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40.3</w:t>
            </w:r>
          </w:p>
        </w:tc>
        <w:tc>
          <w:tcPr>
            <w:tcW w:w="1770" w:type="pct"/>
          </w:tcPr>
          <w:p w14:paraId="34D6EBBC"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587446AF"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0D1501A6"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Iloponu</w:t>
            </w:r>
            <w:proofErr w:type="spellEnd"/>
          </w:p>
        </w:tc>
        <w:tc>
          <w:tcPr>
            <w:tcW w:w="1370" w:type="pct"/>
          </w:tcPr>
          <w:p w14:paraId="79ECF892"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27.4</w:t>
            </w:r>
          </w:p>
        </w:tc>
        <w:tc>
          <w:tcPr>
            <w:tcW w:w="1770" w:type="pct"/>
          </w:tcPr>
          <w:p w14:paraId="1308ECE2"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1D33AA74"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FC88455"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Lamu</w:t>
            </w:r>
          </w:p>
        </w:tc>
        <w:tc>
          <w:tcPr>
            <w:tcW w:w="1370" w:type="pct"/>
          </w:tcPr>
          <w:p w14:paraId="4A89AC23"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93.6</w:t>
            </w:r>
          </w:p>
        </w:tc>
        <w:tc>
          <w:tcPr>
            <w:tcW w:w="1770" w:type="pct"/>
          </w:tcPr>
          <w:p w14:paraId="1E9D8CEA"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(D)</w:t>
            </w:r>
          </w:p>
        </w:tc>
      </w:tr>
      <w:tr w:rsidR="00DD4B55" w:rsidRPr="00164C1B" w14:paraId="1C1C1C03"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21ED584"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Mohiolo</w:t>
            </w:r>
            <w:proofErr w:type="spellEnd"/>
          </w:p>
        </w:tc>
        <w:tc>
          <w:tcPr>
            <w:tcW w:w="1370" w:type="pct"/>
          </w:tcPr>
          <w:p w14:paraId="53F21DB1"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20.7</w:t>
            </w:r>
          </w:p>
        </w:tc>
        <w:tc>
          <w:tcPr>
            <w:tcW w:w="1770" w:type="pct"/>
          </w:tcPr>
          <w:p w14:paraId="0A69E8FE"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(D)</w:t>
            </w:r>
          </w:p>
        </w:tc>
      </w:tr>
      <w:tr w:rsidR="00DD4B55" w:rsidRPr="00164C1B" w14:paraId="52507543"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D6B5A5B"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Lakeya</w:t>
            </w:r>
          </w:p>
        </w:tc>
        <w:tc>
          <w:tcPr>
            <w:tcW w:w="1370" w:type="pct"/>
          </w:tcPr>
          <w:p w14:paraId="1A7648E6"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25</w:t>
            </w:r>
          </w:p>
        </w:tc>
        <w:tc>
          <w:tcPr>
            <w:tcW w:w="1770" w:type="pct"/>
          </w:tcPr>
          <w:p w14:paraId="46D77280"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52E3781D"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3AF603B"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Olimohulo</w:t>
            </w:r>
            <w:proofErr w:type="spellEnd"/>
          </w:p>
        </w:tc>
        <w:tc>
          <w:tcPr>
            <w:tcW w:w="1370" w:type="pct"/>
          </w:tcPr>
          <w:p w14:paraId="2A0BAFE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20.73</w:t>
            </w:r>
          </w:p>
        </w:tc>
        <w:tc>
          <w:tcPr>
            <w:tcW w:w="1770" w:type="pct"/>
          </w:tcPr>
          <w:p w14:paraId="1D68A736"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0DF128C5"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tcPr>
          <w:p w14:paraId="7B83E4E5" w14:textId="77777777" w:rsidR="00DD4B55" w:rsidRPr="00164C1B" w:rsidRDefault="00DD4B55" w:rsidP="00083B49">
            <w:pPr>
              <w:ind w:left="-108"/>
              <w:rPr>
                <w:rFonts w:ascii="Book Antiqua" w:hAnsi="Book Antiqua"/>
                <w:b w:val="0"/>
                <w:bCs w:val="0"/>
                <w:sz w:val="18"/>
                <w:szCs w:val="18"/>
              </w:rPr>
            </w:pPr>
            <w:r w:rsidRPr="00164C1B">
              <w:rPr>
                <w:rFonts w:ascii="Book Antiqua" w:hAnsi="Book Antiqua"/>
                <w:b w:val="0"/>
                <w:bCs w:val="0"/>
                <w:sz w:val="18"/>
                <w:szCs w:val="18"/>
              </w:rPr>
              <w:t xml:space="preserve">Bone </w:t>
            </w:r>
            <w:proofErr w:type="spellStart"/>
            <w:r w:rsidRPr="00164C1B">
              <w:rPr>
                <w:rFonts w:ascii="Book Antiqua" w:hAnsi="Book Antiqua"/>
                <w:b w:val="0"/>
                <w:bCs w:val="0"/>
                <w:sz w:val="18"/>
                <w:szCs w:val="18"/>
              </w:rPr>
              <w:t>Bolango</w:t>
            </w:r>
            <w:proofErr w:type="spellEnd"/>
            <w:r w:rsidRPr="00164C1B">
              <w:rPr>
                <w:rFonts w:ascii="Book Antiqua" w:hAnsi="Book Antiqua"/>
                <w:b w:val="0"/>
                <w:bCs w:val="0"/>
                <w:sz w:val="18"/>
                <w:szCs w:val="18"/>
              </w:rPr>
              <w:t xml:space="preserve"> Regency Rainfall Station</w:t>
            </w:r>
          </w:p>
        </w:tc>
      </w:tr>
      <w:tr w:rsidR="00DD4B55" w:rsidRPr="00164C1B" w14:paraId="09AB1481"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7B5BF8A"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Taludaa</w:t>
            </w:r>
            <w:proofErr w:type="spellEnd"/>
          </w:p>
        </w:tc>
        <w:tc>
          <w:tcPr>
            <w:tcW w:w="1370" w:type="pct"/>
          </w:tcPr>
          <w:p w14:paraId="12821742"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23.7</w:t>
            </w:r>
          </w:p>
        </w:tc>
        <w:tc>
          <w:tcPr>
            <w:tcW w:w="1770" w:type="pct"/>
          </w:tcPr>
          <w:p w14:paraId="23C2F7D9"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3E7E82A7"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033E5615"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Tombulilato</w:t>
            </w:r>
            <w:proofErr w:type="spellEnd"/>
          </w:p>
        </w:tc>
        <w:tc>
          <w:tcPr>
            <w:tcW w:w="1370" w:type="pct"/>
          </w:tcPr>
          <w:p w14:paraId="0979267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45.7</w:t>
            </w:r>
          </w:p>
        </w:tc>
        <w:tc>
          <w:tcPr>
            <w:tcW w:w="1770" w:type="pct"/>
          </w:tcPr>
          <w:p w14:paraId="07C57DFA"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2FE81225"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16671D03"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Boidu</w:t>
            </w:r>
            <w:proofErr w:type="spellEnd"/>
          </w:p>
        </w:tc>
        <w:tc>
          <w:tcPr>
            <w:tcW w:w="1370" w:type="pct"/>
          </w:tcPr>
          <w:p w14:paraId="0CD0AE9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51.7</w:t>
            </w:r>
          </w:p>
        </w:tc>
        <w:tc>
          <w:tcPr>
            <w:tcW w:w="1770" w:type="pct"/>
          </w:tcPr>
          <w:p w14:paraId="3CC6C108"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7D26FB23"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50CDECB"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Longalo</w:t>
            </w:r>
            <w:proofErr w:type="spellEnd"/>
          </w:p>
        </w:tc>
        <w:tc>
          <w:tcPr>
            <w:tcW w:w="1370" w:type="pct"/>
          </w:tcPr>
          <w:p w14:paraId="09CC0B49"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18.8</w:t>
            </w:r>
          </w:p>
        </w:tc>
        <w:tc>
          <w:tcPr>
            <w:tcW w:w="1770" w:type="pct"/>
          </w:tcPr>
          <w:p w14:paraId="73D9949B"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2209FB7E"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5B7D5F3B"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Lombongo</w:t>
            </w:r>
            <w:proofErr w:type="spellEnd"/>
          </w:p>
        </w:tc>
        <w:tc>
          <w:tcPr>
            <w:tcW w:w="1370" w:type="pct"/>
          </w:tcPr>
          <w:p w14:paraId="73BB3B77"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21.4</w:t>
            </w:r>
          </w:p>
        </w:tc>
        <w:tc>
          <w:tcPr>
            <w:tcW w:w="1770" w:type="pct"/>
          </w:tcPr>
          <w:p w14:paraId="70E526AF"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3C4DD09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401C43F" w14:textId="77777777" w:rsidR="00DD4B55" w:rsidRPr="00164C1B" w:rsidRDefault="00DD4B55" w:rsidP="00083B49">
            <w:pPr>
              <w:ind w:left="-108"/>
              <w:rPr>
                <w:rFonts w:ascii="Book Antiqua" w:hAnsi="Book Antiqua"/>
                <w:b w:val="0"/>
                <w:bCs w:val="0"/>
                <w:sz w:val="18"/>
                <w:szCs w:val="18"/>
              </w:rPr>
            </w:pPr>
            <w:r w:rsidRPr="00164C1B">
              <w:rPr>
                <w:rFonts w:ascii="Book Antiqua" w:hAnsi="Book Antiqua"/>
                <w:b w:val="0"/>
                <w:bCs w:val="0"/>
                <w:sz w:val="18"/>
                <w:szCs w:val="18"/>
              </w:rPr>
              <w:t>Pangi</w:t>
            </w:r>
          </w:p>
        </w:tc>
        <w:tc>
          <w:tcPr>
            <w:tcW w:w="1370" w:type="pct"/>
          </w:tcPr>
          <w:p w14:paraId="02D29CED"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17.4</w:t>
            </w:r>
          </w:p>
        </w:tc>
        <w:tc>
          <w:tcPr>
            <w:tcW w:w="1770" w:type="pct"/>
          </w:tcPr>
          <w:p w14:paraId="64DAE346"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4EF5BAB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104831BC" w14:textId="77777777" w:rsidR="00DD4B55" w:rsidRPr="00164C1B" w:rsidRDefault="00DD4B55" w:rsidP="00083B49">
            <w:pPr>
              <w:ind w:left="-108"/>
              <w:rPr>
                <w:rFonts w:ascii="Book Antiqua" w:hAnsi="Book Antiqua"/>
                <w:b w:val="0"/>
                <w:bCs w:val="0"/>
                <w:sz w:val="18"/>
                <w:szCs w:val="18"/>
              </w:rPr>
            </w:pPr>
            <w:proofErr w:type="spellStart"/>
            <w:r w:rsidRPr="00164C1B">
              <w:rPr>
                <w:rFonts w:ascii="Book Antiqua" w:hAnsi="Book Antiqua"/>
                <w:b w:val="0"/>
                <w:bCs w:val="0"/>
                <w:sz w:val="18"/>
                <w:szCs w:val="18"/>
              </w:rPr>
              <w:t>Pinogu</w:t>
            </w:r>
            <w:proofErr w:type="spellEnd"/>
          </w:p>
        </w:tc>
        <w:tc>
          <w:tcPr>
            <w:tcW w:w="1370" w:type="pct"/>
          </w:tcPr>
          <w:p w14:paraId="3CA8BCF5"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sz w:val="18"/>
                <w:szCs w:val="18"/>
              </w:rPr>
            </w:pPr>
            <w:r w:rsidRPr="00164C1B">
              <w:rPr>
                <w:rFonts w:ascii="Book Antiqua" w:hAnsi="Book Antiqua"/>
                <w:sz w:val="18"/>
                <w:szCs w:val="18"/>
              </w:rPr>
              <w:t>9.1</w:t>
            </w:r>
          </w:p>
        </w:tc>
        <w:tc>
          <w:tcPr>
            <w:tcW w:w="1770" w:type="pct"/>
          </w:tcPr>
          <w:p w14:paraId="3065DDAB"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(A)</w:t>
            </w:r>
          </w:p>
        </w:tc>
      </w:tr>
      <w:tr w:rsidR="00DD4B55" w:rsidRPr="00164C1B" w14:paraId="2702BE0D"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tcPr>
          <w:p w14:paraId="4408F744"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Boalemo</w:t>
            </w:r>
            <w:proofErr w:type="spellEnd"/>
            <w:r w:rsidRPr="00164C1B">
              <w:rPr>
                <w:rFonts w:ascii="Book Antiqua" w:hAnsi="Book Antiqua" w:cs="Times New Roman"/>
                <w:b w:val="0"/>
                <w:bCs w:val="0"/>
                <w:sz w:val="18"/>
                <w:szCs w:val="18"/>
              </w:rPr>
              <w:t xml:space="preserve"> Regency Rainfall Station</w:t>
            </w:r>
          </w:p>
        </w:tc>
      </w:tr>
      <w:tr w:rsidR="00DD4B55" w:rsidRPr="00164C1B" w14:paraId="7F1E6146"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2F41C41A" w14:textId="77777777" w:rsidR="00DD4B55" w:rsidRPr="00164C1B" w:rsidRDefault="00DD4B55" w:rsidP="00083B49">
            <w:pPr>
              <w:ind w:left="-108"/>
              <w:rPr>
                <w:rFonts w:ascii="Book Antiqua" w:hAnsi="Book Antiqua" w:cs="Times New Roman"/>
                <w:b w:val="0"/>
                <w:bCs w:val="0"/>
                <w:sz w:val="18"/>
                <w:szCs w:val="18"/>
              </w:rPr>
            </w:pPr>
            <w:r w:rsidRPr="00164C1B">
              <w:rPr>
                <w:rFonts w:ascii="Book Antiqua" w:hAnsi="Book Antiqua" w:cs="Times New Roman"/>
                <w:b w:val="0"/>
                <w:bCs w:val="0"/>
                <w:sz w:val="18"/>
                <w:szCs w:val="18"/>
              </w:rPr>
              <w:t>Sari Tani</w:t>
            </w:r>
          </w:p>
        </w:tc>
        <w:tc>
          <w:tcPr>
            <w:tcW w:w="1370" w:type="pct"/>
          </w:tcPr>
          <w:p w14:paraId="090CE8F3"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12.5</w:t>
            </w:r>
          </w:p>
        </w:tc>
        <w:tc>
          <w:tcPr>
            <w:tcW w:w="1770" w:type="pct"/>
          </w:tcPr>
          <w:p w14:paraId="4F515B0A"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(A)</w:t>
            </w:r>
          </w:p>
        </w:tc>
      </w:tr>
      <w:tr w:rsidR="00DD4B55" w:rsidRPr="00164C1B" w14:paraId="280C58D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4B86C80B"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Tangkobu</w:t>
            </w:r>
            <w:proofErr w:type="spellEnd"/>
          </w:p>
        </w:tc>
        <w:tc>
          <w:tcPr>
            <w:tcW w:w="1370" w:type="pct"/>
          </w:tcPr>
          <w:p w14:paraId="0CB53387"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55.4</w:t>
            </w:r>
          </w:p>
        </w:tc>
        <w:tc>
          <w:tcPr>
            <w:tcW w:w="1770" w:type="pct"/>
          </w:tcPr>
          <w:p w14:paraId="1E867A3E"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54B7C41C"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CB91268" w14:textId="77777777" w:rsidR="00DD4B55" w:rsidRPr="00164C1B" w:rsidRDefault="00DD4B55" w:rsidP="00083B49">
            <w:pPr>
              <w:ind w:left="-108"/>
              <w:rPr>
                <w:rFonts w:ascii="Book Antiqua" w:hAnsi="Book Antiqua" w:cs="Times New Roman"/>
                <w:b w:val="0"/>
                <w:bCs w:val="0"/>
                <w:sz w:val="18"/>
                <w:szCs w:val="18"/>
              </w:rPr>
            </w:pPr>
            <w:r w:rsidRPr="00164C1B">
              <w:rPr>
                <w:rFonts w:ascii="Book Antiqua" w:hAnsi="Book Antiqua" w:cs="Times New Roman"/>
                <w:b w:val="0"/>
                <w:bCs w:val="0"/>
                <w:sz w:val="18"/>
                <w:szCs w:val="18"/>
              </w:rPr>
              <w:t>Buba</w:t>
            </w:r>
          </w:p>
        </w:tc>
        <w:tc>
          <w:tcPr>
            <w:tcW w:w="1370" w:type="pct"/>
          </w:tcPr>
          <w:p w14:paraId="63042BF8"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44.8</w:t>
            </w:r>
          </w:p>
        </w:tc>
        <w:tc>
          <w:tcPr>
            <w:tcW w:w="1770" w:type="pct"/>
          </w:tcPr>
          <w:p w14:paraId="3217C39A"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54814379"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28EB45DB"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Dulupi</w:t>
            </w:r>
            <w:proofErr w:type="spellEnd"/>
          </w:p>
        </w:tc>
        <w:tc>
          <w:tcPr>
            <w:tcW w:w="1370" w:type="pct"/>
          </w:tcPr>
          <w:p w14:paraId="64E3BAA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113.6</w:t>
            </w:r>
          </w:p>
        </w:tc>
        <w:tc>
          <w:tcPr>
            <w:tcW w:w="1770" w:type="pct"/>
          </w:tcPr>
          <w:p w14:paraId="0F7D49B4"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29440AA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E0664ED"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Hungayonaa</w:t>
            </w:r>
            <w:proofErr w:type="spellEnd"/>
          </w:p>
        </w:tc>
        <w:tc>
          <w:tcPr>
            <w:tcW w:w="1370" w:type="pct"/>
          </w:tcPr>
          <w:p w14:paraId="565ACE7C"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36.6</w:t>
            </w:r>
          </w:p>
        </w:tc>
        <w:tc>
          <w:tcPr>
            <w:tcW w:w="1770" w:type="pct"/>
          </w:tcPr>
          <w:p w14:paraId="74B04495"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316C03F0"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325992B1"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Modelomo</w:t>
            </w:r>
            <w:proofErr w:type="spellEnd"/>
          </w:p>
        </w:tc>
        <w:tc>
          <w:tcPr>
            <w:tcW w:w="1370" w:type="pct"/>
          </w:tcPr>
          <w:p w14:paraId="315D6AF7"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119</w:t>
            </w:r>
          </w:p>
        </w:tc>
        <w:tc>
          <w:tcPr>
            <w:tcW w:w="1770" w:type="pct"/>
          </w:tcPr>
          <w:p w14:paraId="67DD5753"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(E)</w:t>
            </w:r>
          </w:p>
        </w:tc>
      </w:tr>
      <w:tr w:rsidR="00DD4B55" w:rsidRPr="00164C1B" w14:paraId="02C7E777"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17DFE089"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Piloliyanga</w:t>
            </w:r>
            <w:proofErr w:type="spellEnd"/>
          </w:p>
        </w:tc>
        <w:tc>
          <w:tcPr>
            <w:tcW w:w="1370" w:type="pct"/>
          </w:tcPr>
          <w:p w14:paraId="02B5B327"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23.5</w:t>
            </w:r>
          </w:p>
        </w:tc>
        <w:tc>
          <w:tcPr>
            <w:tcW w:w="1770" w:type="pct"/>
          </w:tcPr>
          <w:p w14:paraId="0FA6884F"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(E)</w:t>
            </w:r>
          </w:p>
        </w:tc>
      </w:tr>
      <w:tr w:rsidR="00DD4B55" w:rsidRPr="00164C1B" w14:paraId="303F7938"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4A078384"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Bendungan</w:t>
            </w:r>
            <w:proofErr w:type="spellEnd"/>
          </w:p>
        </w:tc>
        <w:tc>
          <w:tcPr>
            <w:tcW w:w="1370" w:type="pct"/>
          </w:tcPr>
          <w:p w14:paraId="1D4D3D25"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25.6</w:t>
            </w:r>
          </w:p>
        </w:tc>
        <w:tc>
          <w:tcPr>
            <w:tcW w:w="1770" w:type="pct"/>
          </w:tcPr>
          <w:p w14:paraId="372F64EC"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(E)</w:t>
            </w:r>
          </w:p>
        </w:tc>
      </w:tr>
      <w:tr w:rsidR="00DD4B55" w:rsidRPr="00164C1B" w14:paraId="1A0E5315"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5000" w:type="pct"/>
            <w:gridSpan w:val="3"/>
          </w:tcPr>
          <w:p w14:paraId="0E1A17C3" w14:textId="77777777" w:rsidR="00DD4B55" w:rsidRPr="00164C1B" w:rsidRDefault="00DD4B55" w:rsidP="00083B49">
            <w:pPr>
              <w:ind w:left="-108"/>
              <w:rPr>
                <w:rFonts w:ascii="Book Antiqua" w:hAnsi="Book Antiqua" w:cs="Times New Roman"/>
                <w:b w:val="0"/>
                <w:bCs w:val="0"/>
                <w:sz w:val="18"/>
                <w:szCs w:val="18"/>
              </w:rPr>
            </w:pPr>
            <w:proofErr w:type="spellStart"/>
            <w:r w:rsidRPr="00164C1B">
              <w:rPr>
                <w:rFonts w:ascii="Book Antiqua" w:hAnsi="Book Antiqua" w:cs="Times New Roman"/>
                <w:b w:val="0"/>
                <w:bCs w:val="0"/>
                <w:sz w:val="18"/>
                <w:szCs w:val="18"/>
              </w:rPr>
              <w:t>Pohuwato</w:t>
            </w:r>
            <w:proofErr w:type="spellEnd"/>
            <w:r w:rsidRPr="00164C1B">
              <w:rPr>
                <w:rFonts w:ascii="Book Antiqua" w:hAnsi="Book Antiqua" w:cs="Times New Roman"/>
                <w:b w:val="0"/>
                <w:bCs w:val="0"/>
                <w:sz w:val="18"/>
                <w:szCs w:val="18"/>
              </w:rPr>
              <w:t xml:space="preserve"> Regency Rainfall Station</w:t>
            </w:r>
          </w:p>
        </w:tc>
      </w:tr>
      <w:tr w:rsidR="00DD4B55" w:rsidRPr="00164C1B" w14:paraId="5FF233C2"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32960BCB"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Bumbulan</w:t>
            </w:r>
            <w:proofErr w:type="spellEnd"/>
          </w:p>
        </w:tc>
        <w:tc>
          <w:tcPr>
            <w:tcW w:w="1370" w:type="pct"/>
          </w:tcPr>
          <w:p w14:paraId="414F494E"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25.3</w:t>
            </w:r>
          </w:p>
        </w:tc>
        <w:tc>
          <w:tcPr>
            <w:tcW w:w="1770" w:type="pct"/>
          </w:tcPr>
          <w:p w14:paraId="19BC1805"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6853E49F"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9B87F4D"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Motolohu</w:t>
            </w:r>
            <w:proofErr w:type="spellEnd"/>
          </w:p>
        </w:tc>
        <w:tc>
          <w:tcPr>
            <w:tcW w:w="1370" w:type="pct"/>
          </w:tcPr>
          <w:p w14:paraId="65F8A767"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28.8</w:t>
            </w:r>
          </w:p>
        </w:tc>
        <w:tc>
          <w:tcPr>
            <w:tcW w:w="1770" w:type="pct"/>
          </w:tcPr>
          <w:p w14:paraId="0F3B12FB"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7CF9757C"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576A5DD"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Iloheluma</w:t>
            </w:r>
            <w:proofErr w:type="spellEnd"/>
          </w:p>
        </w:tc>
        <w:tc>
          <w:tcPr>
            <w:tcW w:w="1370" w:type="pct"/>
          </w:tcPr>
          <w:p w14:paraId="63C60406"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20.7</w:t>
            </w:r>
          </w:p>
        </w:tc>
        <w:tc>
          <w:tcPr>
            <w:tcW w:w="1770" w:type="pct"/>
          </w:tcPr>
          <w:p w14:paraId="3E953405"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(B)</w:t>
            </w:r>
          </w:p>
        </w:tc>
      </w:tr>
      <w:tr w:rsidR="00DD4B55" w:rsidRPr="00164C1B" w14:paraId="6E5D3386"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091D15CE"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Kalimas</w:t>
            </w:r>
            <w:proofErr w:type="spellEnd"/>
          </w:p>
        </w:tc>
        <w:tc>
          <w:tcPr>
            <w:tcW w:w="1370" w:type="pct"/>
          </w:tcPr>
          <w:p w14:paraId="3BDA27C6"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13.3</w:t>
            </w:r>
          </w:p>
        </w:tc>
        <w:tc>
          <w:tcPr>
            <w:tcW w:w="1770" w:type="pct"/>
          </w:tcPr>
          <w:p w14:paraId="3B34A9A7"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(A)</w:t>
            </w:r>
          </w:p>
        </w:tc>
      </w:tr>
      <w:tr w:rsidR="00DD4B55" w:rsidRPr="00164C1B" w14:paraId="0874470F"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088E7CF1"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 xml:space="preserve">North </w:t>
            </w:r>
            <w:proofErr w:type="spellStart"/>
            <w:r w:rsidRPr="00164C1B">
              <w:rPr>
                <w:rFonts w:ascii="Book Antiqua" w:hAnsi="Book Antiqua" w:cs="Times New Roman"/>
                <w:b w:val="0"/>
                <w:bCs w:val="0"/>
                <w:sz w:val="18"/>
                <w:szCs w:val="18"/>
              </w:rPr>
              <w:t>Lemito</w:t>
            </w:r>
            <w:proofErr w:type="spellEnd"/>
          </w:p>
        </w:tc>
        <w:tc>
          <w:tcPr>
            <w:tcW w:w="1370" w:type="pct"/>
          </w:tcPr>
          <w:p w14:paraId="5D5BD455"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67.3</w:t>
            </w:r>
          </w:p>
        </w:tc>
        <w:tc>
          <w:tcPr>
            <w:tcW w:w="1770" w:type="pct"/>
          </w:tcPr>
          <w:p w14:paraId="26EDB638"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(D)</w:t>
            </w:r>
          </w:p>
        </w:tc>
      </w:tr>
      <w:tr w:rsidR="00DD4B55" w:rsidRPr="00164C1B" w14:paraId="10A01BE3"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FD6AD37"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Tahele</w:t>
            </w:r>
            <w:proofErr w:type="spellEnd"/>
          </w:p>
        </w:tc>
        <w:tc>
          <w:tcPr>
            <w:tcW w:w="1370" w:type="pct"/>
          </w:tcPr>
          <w:p w14:paraId="19BFFB9D"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41.7</w:t>
            </w:r>
          </w:p>
        </w:tc>
        <w:tc>
          <w:tcPr>
            <w:tcW w:w="1770" w:type="pct"/>
          </w:tcPr>
          <w:p w14:paraId="75246769"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2301264F"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695A86F0" w14:textId="77777777" w:rsidR="00DD4B55" w:rsidRPr="00164C1B" w:rsidRDefault="00DD4B55" w:rsidP="00083B49">
            <w:pPr>
              <w:ind w:left="-108"/>
              <w:rPr>
                <w:rFonts w:ascii="Book Antiqua" w:hAnsi="Book Antiqua" w:cs="Times New Roman"/>
                <w:sz w:val="18"/>
                <w:szCs w:val="18"/>
              </w:rPr>
            </w:pPr>
            <w:r w:rsidRPr="00164C1B">
              <w:rPr>
                <w:rFonts w:ascii="Book Antiqua" w:hAnsi="Book Antiqua" w:cs="Times New Roman"/>
                <w:b w:val="0"/>
                <w:bCs w:val="0"/>
                <w:sz w:val="18"/>
                <w:szCs w:val="18"/>
              </w:rPr>
              <w:t>Marisa</w:t>
            </w:r>
          </w:p>
        </w:tc>
        <w:tc>
          <w:tcPr>
            <w:tcW w:w="1370" w:type="pct"/>
          </w:tcPr>
          <w:p w14:paraId="50F79D39"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42.5</w:t>
            </w:r>
          </w:p>
        </w:tc>
        <w:tc>
          <w:tcPr>
            <w:tcW w:w="1770" w:type="pct"/>
          </w:tcPr>
          <w:p w14:paraId="46576D19"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r w:rsidR="00DD4B55" w:rsidRPr="00164C1B" w14:paraId="7F875DEA" w14:textId="77777777" w:rsidTr="00083B49">
        <w:trPr>
          <w:trHeight w:val="20"/>
        </w:trPr>
        <w:tc>
          <w:tcPr>
            <w:cnfStyle w:val="001000000000" w:firstRow="0" w:lastRow="0" w:firstColumn="1" w:lastColumn="0" w:oddVBand="0" w:evenVBand="0" w:oddHBand="0" w:evenHBand="0" w:firstRowFirstColumn="0" w:firstRowLastColumn="0" w:lastRowFirstColumn="0" w:lastRowLastColumn="0"/>
            <w:tcW w:w="1859" w:type="pct"/>
          </w:tcPr>
          <w:p w14:paraId="7E277073" w14:textId="77777777" w:rsidR="00DD4B55" w:rsidRPr="00164C1B" w:rsidRDefault="00DD4B55" w:rsidP="00083B49">
            <w:pPr>
              <w:ind w:left="-108"/>
              <w:rPr>
                <w:rFonts w:ascii="Book Antiqua" w:hAnsi="Book Antiqua" w:cs="Times New Roman"/>
                <w:sz w:val="18"/>
                <w:szCs w:val="18"/>
              </w:rPr>
            </w:pPr>
            <w:proofErr w:type="spellStart"/>
            <w:r w:rsidRPr="00164C1B">
              <w:rPr>
                <w:rFonts w:ascii="Book Antiqua" w:hAnsi="Book Antiqua" w:cs="Times New Roman"/>
                <w:b w:val="0"/>
                <w:bCs w:val="0"/>
                <w:sz w:val="18"/>
                <w:szCs w:val="18"/>
              </w:rPr>
              <w:t>Molosipat</w:t>
            </w:r>
            <w:proofErr w:type="spellEnd"/>
          </w:p>
        </w:tc>
        <w:tc>
          <w:tcPr>
            <w:tcW w:w="1370" w:type="pct"/>
          </w:tcPr>
          <w:p w14:paraId="4A11DE1E" w14:textId="77777777" w:rsidR="00DD4B55" w:rsidRPr="00164C1B" w:rsidRDefault="00DD4B55" w:rsidP="00083B49">
            <w:pPr>
              <w:jc w:val="right"/>
              <w:cnfStyle w:val="000000000000" w:firstRow="0" w:lastRow="0" w:firstColumn="0" w:lastColumn="0" w:oddVBand="0" w:evenVBand="0" w:oddHBand="0" w:evenHBand="0" w:firstRowFirstColumn="0" w:firstRowLastColumn="0" w:lastRowFirstColumn="0" w:lastRowLastColumn="0"/>
              <w:rPr>
                <w:rFonts w:ascii="Book Antiqua" w:hAnsi="Book Antiqua" w:cs="Times New Roman"/>
                <w:sz w:val="18"/>
                <w:szCs w:val="18"/>
              </w:rPr>
            </w:pPr>
            <w:r w:rsidRPr="00164C1B">
              <w:rPr>
                <w:rFonts w:ascii="Book Antiqua" w:hAnsi="Book Antiqua" w:cs="Times New Roman"/>
                <w:sz w:val="18"/>
                <w:szCs w:val="18"/>
              </w:rPr>
              <w:t>52.5</w:t>
            </w:r>
          </w:p>
        </w:tc>
        <w:tc>
          <w:tcPr>
            <w:tcW w:w="1770" w:type="pct"/>
          </w:tcPr>
          <w:p w14:paraId="2A8305EF" w14:textId="77777777" w:rsidR="00DD4B55" w:rsidRPr="00862EE9" w:rsidRDefault="00DD4B55" w:rsidP="00083B49">
            <w:pPr>
              <w:pStyle w:val="Body"/>
              <w:ind w:left="-140" w:right="-102"/>
              <w:jc w:val="right"/>
              <w:cnfStyle w:val="000000000000" w:firstRow="0" w:lastRow="0" w:firstColumn="0" w:lastColumn="0" w:oddVBand="0" w:evenVBand="0" w:oddHBand="0" w:evenHBand="0" w:firstRowFirstColumn="0" w:firstRowLastColumn="0" w:lastRowFirstColumn="0" w:lastRowLastColumn="0"/>
              <w:rPr>
                <w:rFonts w:ascii="Book Antiqua" w:hAnsi="Book Antiqua" w:cs="Book Antiqua"/>
                <w:bCs/>
                <w:sz w:val="18"/>
                <w:szCs w:val="18"/>
              </w:rPr>
            </w:pPr>
            <w:r w:rsidRPr="00862EE9">
              <w:rPr>
                <w:rFonts w:ascii="Book Antiqua" w:hAnsi="Book Antiqua" w:cs="Book Antiqua"/>
                <w:bCs/>
                <w:sz w:val="18"/>
                <w:szCs w:val="18"/>
              </w:rPr>
              <w:t>(C)</w:t>
            </w:r>
          </w:p>
        </w:tc>
      </w:tr>
    </w:tbl>
    <w:p w14:paraId="7EEF5F8F" w14:textId="77777777" w:rsidR="00DD4B55" w:rsidRPr="00DD4B55" w:rsidRDefault="00DD4B55" w:rsidP="00DD4B55">
      <w:pPr>
        <w:ind w:firstLine="426"/>
        <w:jc w:val="both"/>
        <w:rPr>
          <w:rFonts w:ascii="Book Antiqua" w:hAnsi="Book Antiqua"/>
          <w:sz w:val="20"/>
          <w:szCs w:val="20"/>
          <w:lang w:val="en-ID"/>
        </w:rPr>
      </w:pPr>
    </w:p>
    <w:p w14:paraId="6CED78D6" w14:textId="1024F0D6" w:rsidR="00472C3D" w:rsidRPr="00472C3D" w:rsidRDefault="00472C3D" w:rsidP="00DD4B55">
      <w:pPr>
        <w:ind w:firstLine="426"/>
        <w:jc w:val="both"/>
        <w:rPr>
          <w:rFonts w:ascii="Book Antiqua" w:hAnsi="Book Antiqua"/>
          <w:sz w:val="20"/>
          <w:szCs w:val="20"/>
        </w:rPr>
      </w:pPr>
      <w:r w:rsidRPr="00472C3D">
        <w:rPr>
          <w:rFonts w:ascii="Book Antiqua" w:hAnsi="Book Antiqua"/>
          <w:sz w:val="20"/>
          <w:szCs w:val="20"/>
        </w:rPr>
        <w:t xml:space="preserve">Overall, the spatial distribution of climate types in Gorontalo Province demonstrates a clear pattern: wetter climates (A–B) are generally found in mountainous and </w:t>
      </w:r>
      <w:r w:rsidRPr="00DD4B55">
        <w:rPr>
          <w:rFonts w:ascii="Book Antiqua" w:hAnsi="Book Antiqua"/>
          <w:sz w:val="20"/>
          <w:szCs w:val="20"/>
          <w:lang w:val="en-ID"/>
        </w:rPr>
        <w:t>interior</w:t>
      </w:r>
      <w:r w:rsidRPr="00472C3D">
        <w:rPr>
          <w:rFonts w:ascii="Book Antiqua" w:hAnsi="Book Antiqua"/>
          <w:sz w:val="20"/>
          <w:szCs w:val="20"/>
        </w:rPr>
        <w:t xml:space="preserve"> regions, while drier climates (C–E) are more common in coastal and lowland areas. These findings confirm that topography and geographic location play a </w:t>
      </w:r>
      <w:r w:rsidRPr="00472C3D">
        <w:rPr>
          <w:rFonts w:ascii="Book Antiqua" w:hAnsi="Book Antiqua"/>
          <w:sz w:val="20"/>
          <w:szCs w:val="20"/>
        </w:rPr>
        <w:t>crucial role in controlling rainfall distribution. The results are consistent with previous studies indicating that orographic effects and proximity to moisture sources significantly influence regional climate patterns</w:t>
      </w:r>
      <w:r w:rsidR="00791470">
        <w:rPr>
          <w:rFonts w:ascii="Book Antiqua" w:hAnsi="Book Antiqua"/>
          <w:sz w:val="20"/>
          <w:szCs w:val="20"/>
        </w:rPr>
        <w:t xml:space="preserve"> </w:t>
      </w:r>
      <w:r w:rsidR="00D51CF0">
        <w:rPr>
          <w:rFonts w:ascii="Book Antiqua" w:hAnsi="Book Antiqua"/>
          <w:sz w:val="20"/>
          <w:szCs w:val="20"/>
        </w:rPr>
        <w:fldChar w:fldCharType="begin" w:fldLock="1"/>
      </w:r>
      <w:r w:rsidR="009D15D7">
        <w:rPr>
          <w:rFonts w:ascii="Book Antiqua" w:hAnsi="Book Antiqua"/>
          <w:sz w:val="20"/>
          <w:szCs w:val="20"/>
        </w:rPr>
        <w:instrText>ADDIN CSL_CITATION {"citationItems":[{"id":"ITEM-1","itemData":{"DOI":"10.3390/rs15245720","ISSN":"20724292","abstract":"Agroclimatic classification identifies zones for efficient use of natural resources leading to optimal and non-optimal crop production. The aim of this paper is the development of a methodology to determine sustainable agricultural zones in three Mediterranean study areas, namely, “La Mancha Oriental” in Spain, “Sidi Bouzid” in Tunisia, and “Bekaa” valley in Lebanon. To achieve this, time series analysis with advanced geoinformatic techniques is applied. The agroclimatic classification methodology is based on three-stages: first, the microclimate features of the region are considered using aridity and vegetation health indices leading to water-limited growth environment (WLGE) zones based on water availability; second, landform features and soil types are associated with WLGE zones to identify non-crop-specific agroclimatic zones (NCSAZ); finally, specific restricted crop parameters are combined with NCSAZ to create the suitability zones. The results are promising as compared with the current crop production systems of the three areas under investigation. Due to climate change, the results indicate that these arid or semi-arid regions are also faced with insufficient amounts of precipitation for supporting rainfed annual crops. Finally, the proposed methodology reveals that the employment and use of remote sensing data and methods could be a significant tool for quickly creating detailed, and up to date agroclimatic zones.","author":[{"dropping-particle":"","family":"Faraslis","given":"Ioannis","non-dropping-particle":"","parse-names":false,"suffix":""},{"dropping-particle":"","family":"Dalezios","given":"Nicolas R.","non-dropping-particle":"","parse-names":false,"suffix":""},{"dropping-particle":"","family":"Alpanakis","given":"Nicolas","non-dropping-particle":"","parse-names":false,"suffix":""},{"dropping-particle":"","family":"Tziatzios","given":"Georgios A.","non-dropping-particle":"","parse-names":false,"suffix":""},{"dropping-particle":"","family":"Spiliotopoulos","given":"Marios","non-dropping-particle":"","parse-names":false,"suffix":""},{"dropping-particle":"","family":"Sakellariou","given":"Stavros","non-dropping-particle":"","parse-names":false,"suffix":""},{"dropping-particle":"","family":"Sidiropoulos","given":"Pantelis","non-dropping-particle":"","parse-names":false,"suffix":""},{"dropping-particle":"","family":"Dercas","given":"Nicholas","non-dropping-particle":"","parse-names":false,"suffix":""},{"dropping-particle":"","family":"Domínguez","given":"Alfonso","non-dropping-particle":"","parse-names":false,"suffix":""},{"dropping-particle":"","family":"Martínez-López","given":"José Antonio","non-dropping-particle":"","parse-names":false,"suffix":""},{"dropping-particle":"","family":"López-Urrea","given":"Ramón","non-dropping-particle":"","parse-names":false,"suffix":""},{"dropping-particle":"","family":"Karam","given":"Fadi","non-dropping-particle":"","parse-names":false,"suffix":""},{"dropping-particle":"","family":"Amami","given":"Hacib","non-dropping-particle":"","parse-names":false,"suffix":""},{"dropping-particle":"","family":"Nciri","given":"Radhouan","non-dropping-particle":"","parse-names":false,"suffix":""}],"container-title":"Remote Sensing","id":"ITEM-1","issue":"24","issued":{"date-parts":[["2023"]]},"title":"Remotely Sensed Agroclimatic Classification and Zoning in Water-Limited Mediterranean Areas towards Sustainable Agriculture","type":"article-journal","volume":"15"},"uris":["http://www.mendeley.com/documents/?uuid=540a611d-b305-41f5-a848-23b4a44b6313"]}],"mendeley":{"formattedCitation":"(Faraslis et al., 2023)","plainTextFormattedCitation":"(Faraslis et al., 2023)","previouslyFormattedCitation":"(Faraslis et al., 2023)"},"properties":{"noteIndex":0},"schema":"https://github.com/citation-style-language/schema/raw/master/csl-citation.json"}</w:instrText>
      </w:r>
      <w:r w:rsidR="00D51CF0">
        <w:rPr>
          <w:rFonts w:ascii="Book Antiqua" w:hAnsi="Book Antiqua"/>
          <w:sz w:val="20"/>
          <w:szCs w:val="20"/>
        </w:rPr>
        <w:fldChar w:fldCharType="separate"/>
      </w:r>
      <w:r w:rsidR="00D51CF0" w:rsidRPr="00D51CF0">
        <w:rPr>
          <w:rFonts w:ascii="Book Antiqua" w:hAnsi="Book Antiqua"/>
          <w:noProof/>
          <w:sz w:val="20"/>
          <w:szCs w:val="20"/>
        </w:rPr>
        <w:t>(Faraslis et al., 2023</w:t>
      </w:r>
      <w:r w:rsidR="00D51CF0">
        <w:rPr>
          <w:rFonts w:ascii="Book Antiqua" w:hAnsi="Book Antiqua"/>
          <w:sz w:val="20"/>
          <w:szCs w:val="20"/>
        </w:rPr>
        <w:fldChar w:fldCharType="end"/>
      </w:r>
      <w:r w:rsidR="00D51CF0">
        <w:rPr>
          <w:rFonts w:ascii="Book Antiqua" w:hAnsi="Book Antiqua"/>
          <w:sz w:val="20"/>
          <w:szCs w:val="20"/>
        </w:rPr>
        <w:t xml:space="preserve">; </w:t>
      </w:r>
      <w:r w:rsidR="00791470">
        <w:rPr>
          <w:rFonts w:ascii="Book Antiqua" w:hAnsi="Book Antiqua"/>
          <w:sz w:val="20"/>
          <w:szCs w:val="20"/>
        </w:rPr>
        <w:fldChar w:fldCharType="begin" w:fldLock="1"/>
      </w:r>
      <w:r w:rsidR="00D51CF0">
        <w:rPr>
          <w:rFonts w:ascii="Book Antiqua" w:hAnsi="Book Antiqua"/>
          <w:sz w:val="20"/>
          <w:szCs w:val="20"/>
        </w:rPr>
        <w:instrText>ADDIN CSL_CITATION {"citationItems":[{"id":"ITEM-1","itemData":{"DOI":"10.1007/s42452-020-03924-3","ISBN":"0123456789","ISSN":"25233971","abstract":"Accurately forecasting rainfall trends is vital for the socio-economic development of a nation. Observed daily rainfall data from the Ghana Meteorological Agency (GMet) spanning 1980 – 2015 was deployed to study the spatio-temporal rainfall trend in the Odaw river basin (ORB) in Accra. Using Mann–Kendall (MK), Sen’s slope and set of homogeneity tests, the monthly, annual and decadal rainfall variability based on the indices – rainfall total, daily maximum and rainy/wet day count were examined. Principal Component Analysis (PCA) and wavelet (WT) analysis were applied on the monthly time series in order to verify the spatio-temporal variability. It was observed that a mean value ranging from 760 to 1200 mm, 77.1–94.4 mm and 56–90 day count were recorded for Annual Rainfall Total (ART), Annual Daily Maximum (ADM) and Annual Rainy Days (ARD) respectively in the ORB. Mann–Kendal test recorded an overall non-significant positive trend in the Odaw basin for ART and ARD with an average positive slope of 3.7 mm/year and 0.23 wet days/year and a significant positive trend with slope value of 0.55 mm/year for ADM in the basin. On the monthly scale, a significant upward trend was observed for the dry seasonal months; December, January and February for the Monthly Rainfall Total (MRT) and Monthly Daily Maximum (MDM) rainfall series during the period at all stations. Homogeneity for both annual and monthly rainfall time series were observed over the stations in the basin by the Pettitt, Alexandersson’s SNHT and Buishand’s tests. PCA revealed that the spatial variability of rainfall in ORB is very diverse with 55.9% of the variability located in the middle to highland part while 44.0% of the variation is occurring mostly in the low-lying area at the southeastern part of the ORB. The wavelet analysis also revealed a strong annual periodicity at all the selected stations in the basin. The outcome of this study provides valuable information to formulate adaptation measures through appropriate strategies for managing flood in the study area.","author":[{"dropping-particle":"","family":"Ackom","given":"Edward Kofi","non-dropping-particle":"","parse-names":false,"suffix":""},{"dropping-particle":"","family":"Adjei","given":"Kwaku Amaning","non-dropping-particle":"","parse-names":false,"suffix":""},{"dropping-particle":"","family":"Odai","given":"Samuel Nii","non-dropping-particle":"","parse-names":false,"suffix":""}],"container-title":"SN Applied Sciences","id":"ITEM-1","issue":"12","issued":{"date-parts":[["2020"]]},"page":"1-26","publisher":"Springer International Publishing","title":"Spatio-temporal rainfall trend and homogeneity analysis in flood prone area: case study of Odaw river basin-Ghana","type":"article-journal","volume":"2"},"uris":["http://www.mendeley.com/documents/?uuid=79a23ff8-7ecc-43b5-8eab-0d49c34630c1"]}],"mendeley":{"formattedCitation":"(Ackom et al., 2020)","plainTextFormattedCitation":"(Ackom et al., 2020)","previouslyFormattedCitation":"(Ackom et al., 2020)"},"properties":{"noteIndex":0},"schema":"https://github.com/citation-style-language/schema/raw/master/csl-citation.json"}</w:instrText>
      </w:r>
      <w:r w:rsidR="00791470">
        <w:rPr>
          <w:rFonts w:ascii="Book Antiqua" w:hAnsi="Book Antiqua"/>
          <w:sz w:val="20"/>
          <w:szCs w:val="20"/>
        </w:rPr>
        <w:fldChar w:fldCharType="separate"/>
      </w:r>
      <w:r w:rsidR="00D51CF0" w:rsidRPr="00D51CF0">
        <w:rPr>
          <w:rFonts w:ascii="Book Antiqua" w:hAnsi="Book Antiqua"/>
          <w:noProof/>
          <w:sz w:val="20"/>
          <w:szCs w:val="20"/>
        </w:rPr>
        <w:t>Ackom et al., 2020)</w:t>
      </w:r>
      <w:r w:rsidR="00791470">
        <w:rPr>
          <w:rFonts w:ascii="Book Antiqua" w:hAnsi="Book Antiqua"/>
          <w:sz w:val="20"/>
          <w:szCs w:val="20"/>
        </w:rPr>
        <w:fldChar w:fldCharType="end"/>
      </w:r>
      <w:r w:rsidRPr="00472C3D">
        <w:rPr>
          <w:rFonts w:ascii="Book Antiqua" w:hAnsi="Book Antiqua"/>
          <w:sz w:val="20"/>
          <w:szCs w:val="20"/>
        </w:rPr>
        <w:t>.</w:t>
      </w:r>
    </w:p>
    <w:p w14:paraId="176A73FD" w14:textId="62993FCC" w:rsidR="002431D1" w:rsidRDefault="00472C3D" w:rsidP="00DD4B55">
      <w:pPr>
        <w:ind w:firstLine="426"/>
        <w:jc w:val="both"/>
        <w:rPr>
          <w:rFonts w:ascii="Book Antiqua" w:hAnsi="Book Antiqua"/>
          <w:sz w:val="20"/>
          <w:szCs w:val="20"/>
          <w:lang w:val="en-ID"/>
        </w:rPr>
      </w:pPr>
      <w:r w:rsidRPr="00DD4B55">
        <w:rPr>
          <w:rFonts w:ascii="Book Antiqua" w:hAnsi="Book Antiqua"/>
          <w:sz w:val="20"/>
          <w:szCs w:val="20"/>
          <w:lang w:val="en-ID"/>
        </w:rPr>
        <w:t>From a practical perspective, this variability has important implications for regional planning. Areas with very wet and wet climates are more suitable for water-intensive agriculture but are also more prone to flooding and landslides</w:t>
      </w:r>
      <w:r w:rsidR="009D15D7" w:rsidRPr="00DD4B55">
        <w:rPr>
          <w:rFonts w:ascii="Book Antiqua" w:hAnsi="Book Antiqua"/>
          <w:sz w:val="20"/>
          <w:szCs w:val="20"/>
          <w:lang w:val="en-ID"/>
        </w:rPr>
        <w:t xml:space="preserve"> </w:t>
      </w:r>
      <w:r w:rsidR="009D15D7" w:rsidRPr="00DD4B55">
        <w:rPr>
          <w:rFonts w:ascii="Book Antiqua" w:hAnsi="Book Antiqua"/>
          <w:sz w:val="20"/>
          <w:szCs w:val="20"/>
          <w:lang w:val="en-ID"/>
        </w:rPr>
        <w:fldChar w:fldCharType="begin" w:fldLock="1"/>
      </w:r>
      <w:r w:rsidR="00F35AAD" w:rsidRPr="00DD4B55">
        <w:rPr>
          <w:rFonts w:ascii="Book Antiqua" w:hAnsi="Book Antiqua"/>
          <w:sz w:val="20"/>
          <w:szCs w:val="20"/>
          <w:lang w:val="en-ID"/>
        </w:rPr>
        <w:instrText>ADDIN CSL_CITATION {"citationItems":[{"id":"ITEM-1","itemData":{"DOI":"10.29244/jpsl.8.3.355-364","ISSN":"20864639","abstract":"Drought is one of the natural disasters that can cause disadvantages, especially in the agricultural sector. Gorontalo Regency is the corn production center, yet it has high vulnerability and low adaptive capacity towards the climate change. In addition, its vulnerability to the impact of drought is seen from the high potential for environmental damage, the disadvantages due to the drought and the potential of the population exposed to drought. Standardized Precipitation Index (SPI) is the estimator tool employed to assess the severity of the drought. This study utilized monthly rainfall data from 17 stations in Gorontalo Regency and 2 stations outside Gorontalo Regency during the period of 1981-2016. The SPI values were calculated by utilizing DrinC software and spatial interpolation of drought using ArcGIS software. The result shows that the longest time of drought occurred in 1982, 1986, 1997 and 2015 due to El Nino phenomenon with moderate and strong category with long duration. Further, analysis result in the last four decades reveals that the worst drought occurred in 1982. Based on the result of frequency analysis on the SPI-3, SPI-6 and SPI-12 time scales, drought is frequently taken place in western regions. Thus, this result can be a reference in managing the water resources in Gorontalo Regency. The plan in the commodity-based agriculture sector can be developed since the result of spatial analysis indicates that SPI can identify the diversity of drought severity. It is necessary to place the climate change scenarios in order to prepare the adaptation and mitigation measures of drought impacts due to the uncertainty of future climate conditions. This is very helpful to provide an idea about the dynamics of drought.","author":[{"dropping-particle":"","family":"Koem","given":"Syahrizal","non-dropping-particle":"","parse-names":false,"suffix":""},{"dropping-particle":"","family":"Rusiyah","given":"Rusiyah","non-dropping-particle":"","parse-names":false,"suffix":""}],"container-title":"Jurnal Pengelolaan Sumberdaya Alam dan Lingkungan (Journal of Natural Resources and Environmental Management)","id":"ITEM-1","issue":"3","issued":{"date-parts":[["2018"]]},"page":"355-364","title":"Spatiotemporal Characteristics of Meteorological Drought in Gorontalo Regency in 1981- 2016","type":"article-journal","volume":"8"},"uris":["http://www.mendeley.com/documents/?uuid=a062f9b9-a98d-42d4-a181-0380f52920a8"]}],"mendeley":{"formattedCitation":"(Koem &amp; Rusiyah, 2018)","plainTextFormattedCitation":"(Koem &amp; Rusiyah, 2018)","previouslyFormattedCitation":"(Koem &amp; Rusiyah, 2018)"},"properties":{"noteIndex":0},"schema":"https://github.com/citation-style-language/schema/raw/master/csl-citation.json"}</w:instrText>
      </w:r>
      <w:r w:rsidR="009D15D7" w:rsidRPr="00DD4B55">
        <w:rPr>
          <w:rFonts w:ascii="Book Antiqua" w:hAnsi="Book Antiqua"/>
          <w:sz w:val="20"/>
          <w:szCs w:val="20"/>
          <w:lang w:val="en-ID"/>
        </w:rPr>
        <w:fldChar w:fldCharType="separate"/>
      </w:r>
      <w:r w:rsidR="009D15D7" w:rsidRPr="00DD4B55">
        <w:rPr>
          <w:rFonts w:ascii="Book Antiqua" w:hAnsi="Book Antiqua"/>
          <w:sz w:val="20"/>
          <w:szCs w:val="20"/>
          <w:lang w:val="en-ID"/>
        </w:rPr>
        <w:t>(Koem &amp; Rusiyah, 2018)</w:t>
      </w:r>
      <w:r w:rsidR="009D15D7" w:rsidRPr="00DD4B55">
        <w:rPr>
          <w:rFonts w:ascii="Book Antiqua" w:hAnsi="Book Antiqua"/>
          <w:sz w:val="20"/>
          <w:szCs w:val="20"/>
          <w:lang w:val="en-ID"/>
        </w:rPr>
        <w:fldChar w:fldCharType="end"/>
      </w:r>
      <w:r w:rsidRPr="00DD4B55">
        <w:rPr>
          <w:rFonts w:ascii="Book Antiqua" w:hAnsi="Book Antiqua"/>
          <w:sz w:val="20"/>
          <w:szCs w:val="20"/>
          <w:lang w:val="en-ID"/>
        </w:rPr>
        <w:t>. In contrast, moderately wet to slightly dry areas require improved water management strategies, such as irrigation development and drought mitigation measures. Therefore, understanding spatial climate variation is essential for sustainable resource</w:t>
      </w:r>
      <w:r w:rsidR="003D7C78" w:rsidRPr="00DD4B55">
        <w:rPr>
          <w:rFonts w:ascii="Book Antiqua" w:hAnsi="Book Antiqua"/>
          <w:sz w:val="20"/>
          <w:szCs w:val="20"/>
          <w:lang w:val="en-ID"/>
        </w:rPr>
        <w:t xml:space="preserve"> </w:t>
      </w:r>
      <w:r w:rsidRPr="00DD4B55">
        <w:rPr>
          <w:rFonts w:ascii="Book Antiqua" w:hAnsi="Book Antiqua"/>
          <w:sz w:val="20"/>
          <w:szCs w:val="20"/>
          <w:lang w:val="en-ID"/>
        </w:rPr>
        <w:t>management and disaster risk reduction in Gorontalo Province.</w:t>
      </w:r>
    </w:p>
    <w:p w14:paraId="1CE2AF94" w14:textId="77777777" w:rsidR="00DD4B55" w:rsidRPr="00DD4B55" w:rsidRDefault="00DD4B55" w:rsidP="00DD4B55">
      <w:pPr>
        <w:ind w:firstLine="426"/>
        <w:jc w:val="both"/>
        <w:rPr>
          <w:rFonts w:ascii="Book Antiqua" w:hAnsi="Book Antiqua"/>
          <w:sz w:val="20"/>
          <w:szCs w:val="20"/>
          <w:lang w:val="en-ID"/>
        </w:rPr>
      </w:pPr>
    </w:p>
    <w:p w14:paraId="58B29919" w14:textId="706BA53C" w:rsidR="002431D1" w:rsidRDefault="002431D1" w:rsidP="002431D1">
      <w:pPr>
        <w:jc w:val="both"/>
        <w:rPr>
          <w:rFonts w:ascii="Book Antiqua" w:hAnsi="Book Antiqua"/>
          <w:sz w:val="20"/>
          <w:szCs w:val="20"/>
        </w:rPr>
      </w:pPr>
      <w:r w:rsidRPr="00472C3D">
        <w:rPr>
          <w:rFonts w:ascii="Book Antiqua" w:hAnsi="Book Antiqua"/>
          <w:noProof/>
          <w:sz w:val="22"/>
          <w:szCs w:val="22"/>
        </w:rPr>
        <w:drawing>
          <wp:inline distT="0" distB="0" distL="0" distR="0" wp14:anchorId="6CAEE422" wp14:editId="3DAA13AD">
            <wp:extent cx="3110865" cy="2162175"/>
            <wp:effectExtent l="19050" t="19050" r="13335" b="28575"/>
            <wp:docPr id="633312280"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2391179" name="Gambar 1622391179"/>
                    <pic:cNvPicPr/>
                  </pic:nvPicPr>
                  <pic:blipFill rotWithShape="1">
                    <a:blip r:embed="rId25" cstate="print">
                      <a:extLst>
                        <a:ext uri="{28A0092B-C50C-407E-A947-70E740481C1C}">
                          <a14:useLocalDpi xmlns:a14="http://schemas.microsoft.com/office/drawing/2010/main" val="0"/>
                        </a:ext>
                      </a:extLst>
                    </a:blip>
                    <a:srcRect b="1597"/>
                    <a:stretch>
                      <a:fillRect/>
                    </a:stretch>
                  </pic:blipFill>
                  <pic:spPr bwMode="auto">
                    <a:xfrm>
                      <a:off x="0" y="0"/>
                      <a:ext cx="3136411" cy="2179930"/>
                    </a:xfrm>
                    <a:prstGeom prst="rect">
                      <a:avLst/>
                    </a:prstGeom>
                    <a:ln>
                      <a:solidFill>
                        <a:schemeClr val="bg1">
                          <a:lumMod val="95000"/>
                        </a:schemeClr>
                      </a:solidFill>
                    </a:ln>
                    <a:extLst>
                      <a:ext uri="{53640926-AAD7-44D8-BBD7-CCE9431645EC}">
                        <a14:shadowObscured xmlns:a14="http://schemas.microsoft.com/office/drawing/2010/main"/>
                      </a:ext>
                    </a:extLst>
                  </pic:spPr>
                </pic:pic>
              </a:graphicData>
            </a:graphic>
          </wp:inline>
        </w:drawing>
      </w:r>
    </w:p>
    <w:p w14:paraId="0DDD24EA" w14:textId="77777777" w:rsidR="002431D1" w:rsidRDefault="002431D1" w:rsidP="003220CF">
      <w:pPr>
        <w:jc w:val="center"/>
        <w:rPr>
          <w:rFonts w:ascii="Book Antiqua" w:hAnsi="Book Antiqua"/>
          <w:sz w:val="18"/>
          <w:szCs w:val="18"/>
        </w:rPr>
      </w:pPr>
      <w:r w:rsidRPr="000D5D0A">
        <w:rPr>
          <w:rFonts w:ascii="Book Antiqua" w:hAnsi="Book Antiqua"/>
          <w:b/>
          <w:bCs/>
          <w:sz w:val="18"/>
          <w:szCs w:val="18"/>
        </w:rPr>
        <w:t xml:space="preserve">Figure </w:t>
      </w:r>
      <w:r>
        <w:rPr>
          <w:rFonts w:ascii="Book Antiqua" w:hAnsi="Book Antiqua"/>
          <w:b/>
          <w:bCs/>
          <w:sz w:val="18"/>
          <w:szCs w:val="18"/>
        </w:rPr>
        <w:t>10</w:t>
      </w:r>
      <w:r w:rsidRPr="000D5D0A">
        <w:rPr>
          <w:rFonts w:ascii="Book Antiqua" w:hAnsi="Book Antiqua"/>
          <w:b/>
          <w:bCs/>
          <w:sz w:val="18"/>
          <w:szCs w:val="18"/>
        </w:rPr>
        <w:t xml:space="preserve">. </w:t>
      </w:r>
      <w:r w:rsidRPr="000D5D0A">
        <w:rPr>
          <w:rFonts w:ascii="Book Antiqua" w:hAnsi="Book Antiqua"/>
          <w:sz w:val="18"/>
          <w:szCs w:val="18"/>
        </w:rPr>
        <w:t>Schmidt-Ferguson climate Q value interpolation map in Gorontalo Province</w:t>
      </w:r>
    </w:p>
    <w:p w14:paraId="49D9FBD9" w14:textId="77777777" w:rsidR="003220CF" w:rsidRPr="000D2F5E" w:rsidRDefault="003220CF" w:rsidP="003220CF">
      <w:pPr>
        <w:jc w:val="center"/>
        <w:rPr>
          <w:rFonts w:ascii="Book Antiqua" w:hAnsi="Book Antiqua"/>
          <w:sz w:val="18"/>
          <w:szCs w:val="18"/>
        </w:rPr>
      </w:pPr>
    </w:p>
    <w:p w14:paraId="7A22004F" w14:textId="61847AEC" w:rsidR="006842A5" w:rsidRPr="000D2F5E" w:rsidRDefault="006842A5" w:rsidP="003220CF">
      <w:pPr>
        <w:ind w:firstLine="426"/>
        <w:jc w:val="both"/>
        <w:rPr>
          <w:rFonts w:ascii="Book Antiqua" w:hAnsi="Book Antiqua"/>
          <w:sz w:val="20"/>
          <w:szCs w:val="20"/>
        </w:rPr>
      </w:pPr>
      <w:r w:rsidRPr="003638C8">
        <w:rPr>
          <w:rFonts w:ascii="Book Antiqua" w:eastAsia="Book Antiqua" w:hAnsi="Book Antiqua" w:cs="Book Antiqua"/>
          <w:bCs/>
          <w:sz w:val="20"/>
          <w:szCs w:val="20"/>
        </w:rPr>
        <w:t>Schmidt–Ferguson Q-</w:t>
      </w:r>
      <w:r w:rsidRPr="003220CF">
        <w:rPr>
          <w:rFonts w:ascii="Book Antiqua" w:hAnsi="Book Antiqua"/>
          <w:sz w:val="20"/>
          <w:szCs w:val="20"/>
          <w:lang w:val="en-ID"/>
        </w:rPr>
        <w:t>index</w:t>
      </w:r>
      <w:r w:rsidRPr="003638C8">
        <w:rPr>
          <w:rFonts w:ascii="Book Antiqua" w:eastAsia="Book Antiqua" w:hAnsi="Book Antiqua" w:cs="Book Antiqua"/>
          <w:bCs/>
          <w:sz w:val="20"/>
          <w:szCs w:val="20"/>
        </w:rPr>
        <w:t xml:space="preserve"> analysis reveals climate variation in Gorontalo, dominated by wet (B) and moderately wet (C) types, particularly in North Gorontalo, Bone </w:t>
      </w:r>
      <w:proofErr w:type="spellStart"/>
      <w:r w:rsidRPr="003638C8">
        <w:rPr>
          <w:rFonts w:ascii="Book Antiqua" w:eastAsia="Book Antiqua" w:hAnsi="Book Antiqua" w:cs="Book Antiqua"/>
          <w:bCs/>
          <w:sz w:val="20"/>
          <w:szCs w:val="20"/>
        </w:rPr>
        <w:t>Bolango</w:t>
      </w:r>
      <w:proofErr w:type="spellEnd"/>
      <w:r w:rsidRPr="003638C8">
        <w:rPr>
          <w:rFonts w:ascii="Book Antiqua" w:eastAsia="Book Antiqua" w:hAnsi="Book Antiqua" w:cs="Book Antiqua"/>
          <w:bCs/>
          <w:sz w:val="20"/>
          <w:szCs w:val="20"/>
        </w:rPr>
        <w:t xml:space="preserve">, and </w:t>
      </w:r>
      <w:proofErr w:type="spellStart"/>
      <w:r w:rsidRPr="003638C8">
        <w:rPr>
          <w:rFonts w:ascii="Book Antiqua" w:eastAsia="Book Antiqua" w:hAnsi="Book Antiqua" w:cs="Book Antiqua"/>
          <w:bCs/>
          <w:sz w:val="20"/>
          <w:szCs w:val="20"/>
        </w:rPr>
        <w:t>Pohuwato</w:t>
      </w:r>
      <w:proofErr w:type="spellEnd"/>
      <w:r w:rsidRPr="003638C8">
        <w:rPr>
          <w:rFonts w:ascii="Book Antiqua" w:eastAsia="Book Antiqua" w:hAnsi="Book Antiqua" w:cs="Book Antiqua"/>
          <w:bCs/>
          <w:sz w:val="20"/>
          <w:szCs w:val="20"/>
        </w:rPr>
        <w:t xml:space="preserve">. </w:t>
      </w:r>
      <w:proofErr w:type="spellStart"/>
      <w:r w:rsidRPr="003638C8">
        <w:rPr>
          <w:rFonts w:ascii="Book Antiqua" w:eastAsia="Book Antiqua" w:hAnsi="Book Antiqua" w:cs="Book Antiqua"/>
          <w:bCs/>
          <w:sz w:val="20"/>
          <w:szCs w:val="20"/>
        </w:rPr>
        <w:t>Boalemo</w:t>
      </w:r>
      <w:proofErr w:type="spellEnd"/>
      <w:r w:rsidRPr="003638C8">
        <w:rPr>
          <w:rFonts w:ascii="Book Antiqua" w:eastAsia="Book Antiqua" w:hAnsi="Book Antiqua" w:cs="Book Antiqua"/>
          <w:bCs/>
          <w:sz w:val="20"/>
          <w:szCs w:val="20"/>
        </w:rPr>
        <w:t xml:space="preserve"> Regency exhibits the most uneven rainfall distribution, with a range of types A (very wet) to E (moderately dry). This diversity confirms that local topographic and geographic factors significantly influence the climate characteristics of each region.</w:t>
      </w:r>
    </w:p>
    <w:p w14:paraId="0572CD9D" w14:textId="3D0D3066" w:rsidR="00722CE7" w:rsidRDefault="004131DE" w:rsidP="003220CF">
      <w:pPr>
        <w:ind w:firstLine="426"/>
        <w:jc w:val="both"/>
        <w:rPr>
          <w:rFonts w:ascii="Book Antiqua" w:eastAsia="Book Antiqua" w:hAnsi="Book Antiqua" w:cs="Book Antiqua"/>
          <w:bCs/>
          <w:sz w:val="20"/>
          <w:szCs w:val="20"/>
        </w:rPr>
      </w:pPr>
      <w:r w:rsidRPr="003638C8">
        <w:rPr>
          <w:rFonts w:ascii="Book Antiqua" w:eastAsia="Book Antiqua" w:hAnsi="Book Antiqua" w:cs="Book Antiqua"/>
          <w:bCs/>
          <w:sz w:val="20"/>
          <w:szCs w:val="20"/>
        </w:rPr>
        <w:tab/>
        <w:t xml:space="preserve">This study uses the Schmidt-Ferguson index to classify climate zones in Gorontalo Regency using monthly rainfall data. It found several </w:t>
      </w:r>
      <w:r w:rsidRPr="003220CF">
        <w:rPr>
          <w:rFonts w:ascii="Book Antiqua" w:hAnsi="Book Antiqua"/>
          <w:sz w:val="20"/>
          <w:szCs w:val="20"/>
          <w:lang w:val="en-ID"/>
        </w:rPr>
        <w:t>climate</w:t>
      </w:r>
      <w:r w:rsidRPr="003638C8">
        <w:rPr>
          <w:rFonts w:ascii="Book Antiqua" w:eastAsia="Book Antiqua" w:hAnsi="Book Antiqua" w:cs="Book Antiqua"/>
          <w:bCs/>
          <w:sz w:val="20"/>
          <w:szCs w:val="20"/>
        </w:rPr>
        <w:t xml:space="preserve"> types (B, C, D, E, and F) in the 1981–2020 period, and demonstrated changes in the extent of climate zones over time. This demonstrates that the Schmidt-Ferguson method effectively demonstrates variations in climate types within a region and that spatial factors (such as topography and rainfall distribution) influence the climate zoning results, in line with my statement</w:t>
      </w:r>
      <w:r w:rsidR="006A2F06">
        <w:rPr>
          <w:rFonts w:ascii="Book Antiqua" w:eastAsia="Book Antiqua" w:hAnsi="Book Antiqua" w:cs="Book Antiqua"/>
          <w:bCs/>
          <w:sz w:val="20"/>
          <w:szCs w:val="20"/>
        </w:rPr>
        <w:t xml:space="preserve"> </w:t>
      </w:r>
      <w:r w:rsidRPr="003638C8">
        <w:rPr>
          <w:rFonts w:ascii="Book Antiqua" w:eastAsia="Book Antiqua" w:hAnsi="Book Antiqua" w:cs="Book Antiqua"/>
          <w:bCs/>
          <w:sz w:val="20"/>
          <w:szCs w:val="20"/>
        </w:rPr>
        <w:fldChar w:fldCharType="begin" w:fldLock="1"/>
      </w:r>
      <w:r w:rsidR="00D51CF0">
        <w:rPr>
          <w:rFonts w:ascii="Book Antiqua" w:eastAsia="Book Antiqua" w:hAnsi="Book Antiqua" w:cs="Book Antiqua"/>
          <w:bCs/>
          <w:sz w:val="20"/>
          <w:szCs w:val="20"/>
        </w:rPr>
        <w:instrText>ADDIN CSL_CITATION {"citationItems":[{"id":"ITEM-1","itemData":{"DOI":"10.31764/geography.v11i2.15821","ISSN":"2339-2835","abstract":"Abstrak: Penelitian ini menggunakan SIG untuk menganalisis pergeseran zona agroklimat berdasarkan Klasifikasi Schmidt-Ferguson di Kabupaten Gorontalo. Klasifikasi iklim Schmidt-Ferguson diestimasi menggunakan data curah hujan bulanan. Untuk setiap stasiun hujan dari tahun 1981 sampai 2020 dihitung jumlah Bulan Basah (BB), Bulan Kering (BK), dan Bulan Lembab (BL) selama 10, 20, dan 40 tahun. Kabupaten Gorontalo terdeteksi memiliki lima tipe iklim, yaitu: B, C, D, E, dan F. Tipe C mendominasi di stasiun pengamatan selama periode pengamatan 10 dan 20 tahun. Ada kecenderungan luas tipe C menurun sedangkan luas tipe D bertambah, dan iklim kering tipe E dan F berpotensi meningkat. Pemetaan zonasi iklim mempengaruhi sosial ekonomi masyarakat dalam perencanaan pertanian, khususnya pengelolaan lahan dan jenis tanaman. Hasil zonasi iklim yang terdeteksi perlu diverifikasi dengan teknologi penginderaan jauh menggunakan data citra satelit. Hal ini diperlukan karena kelemahan mendasar klasifikasi iklim adalah batas tipe iklim tidak sesuai dengan batas lanskap. Abstract:  This study uses GIS to analyze shifts in agro-climatic zones based on the Schmidt-Ferguson Classification in Gorontalo District. The Schmidt-Ferguson climate classification is estimated using monthly rainfall data. For each rain station from 1981 to 2020, the number of wet months (BB), dry months (BK), and humid months (BL) is calculated for 10, 20, and 40 years. Gorontalo District was detected to have five climate types, namely: B, C, D, E, and F. Type C dominated at observation stations during the 10 and 20-year observation period. There is a tendency for the area of type C to decrease while the area of type D increases, and the dry climate types E and F have the potential to increase. Climate zoning mapping affects the socio-economic community in agricultural planning, especially land management and plant types. The detected climate zoning results need to be verified with remote sensing technology using satellite imagery data. This is necessary because the fundamental weakness of climate classification is that the climate-type boundaries do not match the landscape boundaries.","author":[{"dropping-particle":"","family":"Moontuno","given":"Viky Vendy","non-dropping-particle":"","parse-names":false,"suffix":""},{"dropping-particle":"","family":"Maryati","given":"Sri","non-dropping-particle":"","parse-names":false,"suffix":""},{"dropping-particle":"","family":"Koem","given":"Syahrizal","non-dropping-particle":"","parse-names":false,"suffix":""}],"container-title":"GEOGRAPHY : Jurnal Kajian, Penelitian dan Pengembangan Pendidikan","id":"ITEM-1","issue":"2","issued":{"date-parts":[["2023"]]},"page":"191","title":"Deteksi Perubahan Zona Agroklimat Schmidt-Ferguson Menggunakan Sistem Informasi Geografis Di Kabupaten Gorontalo","type":"article-journal","volume":"11"},"uris":["http://www.mendeley.com/documents/?uuid=af1f6904-5ea8-4bd4-b87c-8fa1cdf8e8e0"]}],"mendeley":{"formattedCitation":"(V. V. Moontuno et al., 2023)","plainTextFormattedCitation":"(V. V. Moontuno et al., 2023)","previouslyFormattedCitation":"(V. V. Moontuno et al., 2023)"},"properties":{"noteIndex":0},"schema":"https://github.com/citation-style-language/schema/raw/master/csl-citation.json"}</w:instrText>
      </w:r>
      <w:r w:rsidRPr="003638C8">
        <w:rPr>
          <w:rFonts w:ascii="Book Antiqua" w:eastAsia="Book Antiqua" w:hAnsi="Book Antiqua" w:cs="Book Antiqua"/>
          <w:bCs/>
          <w:sz w:val="20"/>
          <w:szCs w:val="20"/>
        </w:rPr>
        <w:fldChar w:fldCharType="separate"/>
      </w:r>
      <w:r w:rsidR="003220CF">
        <w:rPr>
          <w:rFonts w:ascii="Book Antiqua" w:eastAsia="Book Antiqua" w:hAnsi="Book Antiqua" w:cs="Book Antiqua"/>
          <w:bCs/>
          <w:noProof/>
          <w:sz w:val="20"/>
          <w:szCs w:val="20"/>
        </w:rPr>
        <w:t>(</w:t>
      </w:r>
      <w:r w:rsidR="00D51CF0" w:rsidRPr="00D51CF0">
        <w:rPr>
          <w:rFonts w:ascii="Book Antiqua" w:eastAsia="Book Antiqua" w:hAnsi="Book Antiqua" w:cs="Book Antiqua"/>
          <w:bCs/>
          <w:noProof/>
          <w:sz w:val="20"/>
          <w:szCs w:val="20"/>
        </w:rPr>
        <w:t>Moontuno et al., 2023)</w:t>
      </w:r>
      <w:r w:rsidRPr="003638C8">
        <w:rPr>
          <w:rFonts w:ascii="Book Antiqua" w:eastAsia="Book Antiqua" w:hAnsi="Book Antiqua" w:cs="Book Antiqua"/>
          <w:bCs/>
          <w:sz w:val="20"/>
          <w:szCs w:val="20"/>
        </w:rPr>
        <w:fldChar w:fldCharType="end"/>
      </w:r>
      <w:r w:rsidRPr="003638C8">
        <w:rPr>
          <w:rFonts w:ascii="Book Antiqua" w:eastAsia="Book Antiqua" w:hAnsi="Book Antiqua" w:cs="Book Antiqua"/>
          <w:bCs/>
          <w:sz w:val="20"/>
          <w:szCs w:val="20"/>
        </w:rPr>
        <w:t>.</w:t>
      </w:r>
    </w:p>
    <w:p w14:paraId="2046BDB4" w14:textId="77777777" w:rsidR="00722CE7" w:rsidRPr="003638C8" w:rsidRDefault="00155BAE" w:rsidP="003220CF">
      <w:pPr>
        <w:jc w:val="both"/>
        <w:rPr>
          <w:rFonts w:ascii="Book Antiqua" w:eastAsia="Book Antiqua" w:hAnsi="Book Antiqua" w:cs="Book Antiqua"/>
          <w:b/>
          <w:sz w:val="20"/>
          <w:szCs w:val="20"/>
        </w:rPr>
      </w:pPr>
      <w:r w:rsidRPr="003638C8">
        <w:rPr>
          <w:rFonts w:ascii="Book Antiqua" w:eastAsia="Book Antiqua" w:hAnsi="Book Antiqua" w:cs="Book Antiqua"/>
          <w:b/>
          <w:sz w:val="22"/>
          <w:szCs w:val="22"/>
        </w:rPr>
        <w:lastRenderedPageBreak/>
        <w:t>Conclusion</w:t>
      </w:r>
    </w:p>
    <w:p w14:paraId="79E67E65" w14:textId="77777777" w:rsidR="003220CF" w:rsidRDefault="003220CF" w:rsidP="003220CF">
      <w:pPr>
        <w:ind w:firstLine="426"/>
        <w:jc w:val="both"/>
        <w:rPr>
          <w:rFonts w:ascii="Book Antiqua" w:eastAsia="Book Antiqua" w:hAnsi="Book Antiqua" w:cs="Book Antiqua"/>
          <w:sz w:val="20"/>
          <w:szCs w:val="20"/>
        </w:rPr>
      </w:pPr>
    </w:p>
    <w:p w14:paraId="071266CE" w14:textId="2808EFDB" w:rsidR="00585BC4" w:rsidRDefault="00585BC4" w:rsidP="003220CF">
      <w:pPr>
        <w:ind w:firstLine="426"/>
        <w:jc w:val="both"/>
        <w:rPr>
          <w:rFonts w:ascii="Book Antiqua" w:eastAsia="Book Antiqua" w:hAnsi="Book Antiqua" w:cs="Book Antiqua"/>
          <w:sz w:val="20"/>
          <w:szCs w:val="20"/>
        </w:rPr>
      </w:pPr>
      <w:r w:rsidRPr="00585BC4">
        <w:rPr>
          <w:rFonts w:ascii="Book Antiqua" w:eastAsia="Book Antiqua" w:hAnsi="Book Antiqua" w:cs="Book Antiqua"/>
          <w:sz w:val="20"/>
          <w:szCs w:val="20"/>
        </w:rPr>
        <w:t xml:space="preserve">This study successfully mapped climate variability in Gorontalo Province using the Schmidt–Ferguson classification, which showed a range of $Q$ indices between 7.6% and 119%, spanning the Very Wet (A) to Somewhat Dry (E) categories. These findings consistently achieved the research objectives by proving that mountainous areas such as Bone </w:t>
      </w:r>
      <w:proofErr w:type="spellStart"/>
      <w:r w:rsidRPr="00585BC4">
        <w:rPr>
          <w:rFonts w:ascii="Book Antiqua" w:eastAsia="Book Antiqua" w:hAnsi="Book Antiqua" w:cs="Book Antiqua"/>
          <w:sz w:val="20"/>
          <w:szCs w:val="20"/>
        </w:rPr>
        <w:t>Bolango</w:t>
      </w:r>
      <w:proofErr w:type="spellEnd"/>
      <w:r w:rsidRPr="00585BC4">
        <w:rPr>
          <w:rFonts w:ascii="Book Antiqua" w:eastAsia="Book Antiqua" w:hAnsi="Book Antiqua" w:cs="Book Antiqua"/>
          <w:sz w:val="20"/>
          <w:szCs w:val="20"/>
        </w:rPr>
        <w:t xml:space="preserve"> are dominated by a wet climate, while coastal areas tend to be drier, which implies the need for specific policies such as upstream zones to prevent flooding and the construction of reservoirs and the use of drought-resistant varieties in coastal zones. Although limited by the uneven distribution of rainfall stations and the 10-year data period that is prone to weather anomalies, this study provides crucial </w:t>
      </w:r>
      <w:r w:rsidRPr="003220CF">
        <w:rPr>
          <w:rFonts w:ascii="Book Antiqua" w:hAnsi="Book Antiqua"/>
          <w:sz w:val="20"/>
          <w:szCs w:val="20"/>
          <w:lang w:val="en-ID"/>
        </w:rPr>
        <w:t>contributions</w:t>
      </w:r>
      <w:r w:rsidRPr="00585BC4">
        <w:rPr>
          <w:rFonts w:ascii="Book Antiqua" w:eastAsia="Book Antiqua" w:hAnsi="Book Antiqua" w:cs="Book Antiqua"/>
          <w:sz w:val="20"/>
          <w:szCs w:val="20"/>
        </w:rPr>
        <w:t xml:space="preserve"> to climate-based regional planning; In the future, the integration of CHIRPS satellite data and advanced spatial modeling such as Geographically Weighted Regression is highly recommended to improve mapping accuracy.</w:t>
      </w:r>
    </w:p>
    <w:p w14:paraId="0339191D" w14:textId="77777777" w:rsidR="003220CF" w:rsidRDefault="003220CF" w:rsidP="003220CF">
      <w:pPr>
        <w:ind w:firstLine="426"/>
        <w:jc w:val="both"/>
        <w:rPr>
          <w:rFonts w:ascii="Book Antiqua" w:eastAsia="Book Antiqua" w:hAnsi="Book Antiqua" w:cs="Book Antiqua"/>
          <w:sz w:val="20"/>
          <w:szCs w:val="20"/>
        </w:rPr>
      </w:pPr>
    </w:p>
    <w:p w14:paraId="0D50B0BD" w14:textId="0132E0C4" w:rsidR="00767A4A" w:rsidRPr="003638C8" w:rsidRDefault="007A6863" w:rsidP="003220CF">
      <w:pPr>
        <w:jc w:val="both"/>
        <w:rPr>
          <w:rFonts w:ascii="Book Antiqua" w:eastAsia="Book Antiqua" w:hAnsi="Book Antiqua" w:cs="Book Antiqua"/>
          <w:b/>
          <w:sz w:val="18"/>
          <w:szCs w:val="18"/>
        </w:rPr>
      </w:pPr>
      <w:r w:rsidRPr="007A6863">
        <w:rPr>
          <w:rFonts w:ascii="Book Antiqua" w:eastAsia="Book Antiqua" w:hAnsi="Book Antiqua" w:cs="Book Antiqua"/>
          <w:b/>
          <w:sz w:val="18"/>
          <w:szCs w:val="18"/>
        </w:rPr>
        <w:t>Acknowledgments</w:t>
      </w:r>
    </w:p>
    <w:p w14:paraId="6701E48E" w14:textId="1A8BE0BB" w:rsidR="0077631D" w:rsidRDefault="007A6863" w:rsidP="003220CF">
      <w:pPr>
        <w:jc w:val="both"/>
        <w:rPr>
          <w:rFonts w:ascii="Book Antiqua" w:eastAsia="Book Antiqua" w:hAnsi="Book Antiqua" w:cs="Book Antiqua"/>
          <w:sz w:val="18"/>
          <w:szCs w:val="18"/>
        </w:rPr>
      </w:pPr>
      <w:r w:rsidRPr="007A6863">
        <w:rPr>
          <w:rFonts w:ascii="Book Antiqua" w:eastAsia="Book Antiqua" w:hAnsi="Book Antiqua" w:cs="Book Antiqua"/>
          <w:sz w:val="18"/>
          <w:szCs w:val="18"/>
        </w:rPr>
        <w:t>The authors would like to express their deepest gratitude to</w:t>
      </w:r>
      <w:r>
        <w:rPr>
          <w:rFonts w:ascii="Book Antiqua" w:eastAsia="Book Antiqua" w:hAnsi="Book Antiqua" w:cs="Book Antiqua"/>
          <w:sz w:val="18"/>
          <w:szCs w:val="18"/>
        </w:rPr>
        <w:t xml:space="preserve"> </w:t>
      </w:r>
      <w:r w:rsidRPr="007A6863">
        <w:rPr>
          <w:rFonts w:ascii="Book Antiqua" w:eastAsia="Book Antiqua" w:hAnsi="Book Antiqua" w:cs="Book Antiqua"/>
          <w:sz w:val="18"/>
          <w:szCs w:val="18"/>
        </w:rPr>
        <w:t>Universitas Muhammadiyah Gorontalo for the continuous</w:t>
      </w:r>
      <w:r>
        <w:rPr>
          <w:rFonts w:ascii="Book Antiqua" w:eastAsia="Book Antiqua" w:hAnsi="Book Antiqua" w:cs="Book Antiqua"/>
          <w:sz w:val="18"/>
          <w:szCs w:val="18"/>
        </w:rPr>
        <w:t xml:space="preserve"> </w:t>
      </w:r>
      <w:r w:rsidRPr="007A6863">
        <w:rPr>
          <w:rFonts w:ascii="Book Antiqua" w:eastAsia="Book Antiqua" w:hAnsi="Book Antiqua" w:cs="Book Antiqua"/>
          <w:sz w:val="18"/>
          <w:szCs w:val="18"/>
        </w:rPr>
        <w:t>support, facilities, and academic</w:t>
      </w:r>
      <w:r>
        <w:rPr>
          <w:rFonts w:ascii="Book Antiqua" w:eastAsia="Book Antiqua" w:hAnsi="Book Antiqua" w:cs="Book Antiqua"/>
          <w:sz w:val="18"/>
          <w:szCs w:val="18"/>
        </w:rPr>
        <w:t xml:space="preserve"> </w:t>
      </w:r>
      <w:r w:rsidRPr="007A6863">
        <w:rPr>
          <w:rFonts w:ascii="Book Antiqua" w:eastAsia="Book Antiqua" w:hAnsi="Book Antiqua" w:cs="Book Antiqua"/>
          <w:sz w:val="18"/>
          <w:szCs w:val="18"/>
        </w:rPr>
        <w:t xml:space="preserve">guidance provided throughout the completion of this research. </w:t>
      </w:r>
    </w:p>
    <w:p w14:paraId="089A3C9D" w14:textId="77777777" w:rsidR="003220CF" w:rsidRPr="007A6863" w:rsidRDefault="003220CF" w:rsidP="003220CF">
      <w:pPr>
        <w:jc w:val="both"/>
        <w:rPr>
          <w:rFonts w:ascii="Book Antiqua" w:eastAsia="Book Antiqua" w:hAnsi="Book Antiqua" w:cs="Book Antiqua"/>
          <w:sz w:val="18"/>
          <w:szCs w:val="18"/>
        </w:rPr>
      </w:pPr>
    </w:p>
    <w:p w14:paraId="4EAA1532" w14:textId="2B8C3506" w:rsidR="0077631D" w:rsidRPr="003638C8" w:rsidRDefault="00283211" w:rsidP="003220CF">
      <w:pPr>
        <w:jc w:val="both"/>
        <w:rPr>
          <w:rFonts w:ascii="Book Antiqua" w:eastAsia="Book Antiqua" w:hAnsi="Book Antiqua"/>
          <w:b/>
          <w:sz w:val="18"/>
          <w:szCs w:val="18"/>
        </w:rPr>
      </w:pPr>
      <w:r w:rsidRPr="003638C8">
        <w:rPr>
          <w:rFonts w:ascii="Book Antiqua" w:eastAsia="Book Antiqua" w:hAnsi="Book Antiqua"/>
          <w:b/>
          <w:sz w:val="18"/>
          <w:szCs w:val="18"/>
        </w:rPr>
        <w:t>Author Contribution</w:t>
      </w:r>
    </w:p>
    <w:p w14:paraId="1E4C4353" w14:textId="6433FC65" w:rsidR="007A6863" w:rsidRPr="007A6863" w:rsidRDefault="007A6863" w:rsidP="003220CF">
      <w:pPr>
        <w:jc w:val="both"/>
        <w:rPr>
          <w:rFonts w:ascii="Book Antiqua" w:eastAsia="Book Antiqua" w:hAnsi="Book Antiqua"/>
          <w:sz w:val="18"/>
          <w:szCs w:val="18"/>
        </w:rPr>
      </w:pPr>
      <w:r w:rsidRPr="007A6863">
        <w:rPr>
          <w:rFonts w:ascii="Book Antiqua" w:eastAsia="Book Antiqua" w:hAnsi="Book Antiqua"/>
          <w:sz w:val="18"/>
          <w:szCs w:val="18"/>
        </w:rPr>
        <w:t xml:space="preserve">Conceptualization, </w:t>
      </w:r>
      <w:r>
        <w:rPr>
          <w:rFonts w:ascii="Book Antiqua" w:eastAsia="Book Antiqua" w:hAnsi="Book Antiqua"/>
          <w:sz w:val="18"/>
          <w:szCs w:val="18"/>
        </w:rPr>
        <w:t>G</w:t>
      </w:r>
      <w:r w:rsidRPr="007A6863">
        <w:rPr>
          <w:rFonts w:ascii="Book Antiqua" w:eastAsia="Book Antiqua" w:hAnsi="Book Antiqua"/>
          <w:sz w:val="18"/>
          <w:szCs w:val="18"/>
        </w:rPr>
        <w:t>.</w:t>
      </w:r>
      <w:r>
        <w:rPr>
          <w:rFonts w:ascii="Book Antiqua" w:eastAsia="Book Antiqua" w:hAnsi="Book Antiqua"/>
          <w:sz w:val="18"/>
          <w:szCs w:val="18"/>
        </w:rPr>
        <w:t>S</w:t>
      </w:r>
      <w:r w:rsidRPr="007A6863">
        <w:rPr>
          <w:rFonts w:ascii="Book Antiqua" w:eastAsia="Book Antiqua" w:hAnsi="Book Antiqua"/>
          <w:sz w:val="18"/>
          <w:szCs w:val="18"/>
        </w:rPr>
        <w:t>.</w:t>
      </w:r>
      <w:r>
        <w:rPr>
          <w:rFonts w:ascii="Book Antiqua" w:eastAsia="Book Antiqua" w:hAnsi="Book Antiqua"/>
          <w:sz w:val="18"/>
          <w:szCs w:val="18"/>
        </w:rPr>
        <w:t>P</w:t>
      </w:r>
      <w:r w:rsidRPr="007A6863">
        <w:rPr>
          <w:rFonts w:ascii="Book Antiqua" w:eastAsia="Book Antiqua" w:hAnsi="Book Antiqua"/>
          <w:sz w:val="18"/>
          <w:szCs w:val="18"/>
        </w:rPr>
        <w:t>., A.S.R.S., and T.D; methodology,</w:t>
      </w:r>
      <w:r>
        <w:rPr>
          <w:rFonts w:ascii="Book Antiqua" w:eastAsia="Book Antiqua" w:hAnsi="Book Antiqua"/>
          <w:sz w:val="18"/>
          <w:szCs w:val="18"/>
        </w:rPr>
        <w:t xml:space="preserve"> </w:t>
      </w:r>
      <w:r w:rsidR="00150D13">
        <w:rPr>
          <w:rFonts w:ascii="Book Antiqua" w:eastAsia="Book Antiqua" w:hAnsi="Book Antiqua"/>
          <w:sz w:val="18"/>
          <w:szCs w:val="18"/>
        </w:rPr>
        <w:t>D.O.S.</w:t>
      </w:r>
      <w:r w:rsidRPr="007A6863">
        <w:rPr>
          <w:rFonts w:ascii="Book Antiqua" w:eastAsia="Book Antiqua" w:hAnsi="Book Antiqua"/>
          <w:sz w:val="18"/>
          <w:szCs w:val="18"/>
        </w:rPr>
        <w:t xml:space="preserve">; software, data analyzer and visualization </w:t>
      </w:r>
      <w:r w:rsidR="00150D13">
        <w:rPr>
          <w:rFonts w:ascii="Book Antiqua" w:eastAsia="Book Antiqua" w:hAnsi="Book Antiqua"/>
          <w:sz w:val="18"/>
          <w:szCs w:val="18"/>
        </w:rPr>
        <w:t>G</w:t>
      </w:r>
      <w:r w:rsidRPr="007A6863">
        <w:rPr>
          <w:rFonts w:ascii="Book Antiqua" w:eastAsia="Book Antiqua" w:hAnsi="Book Antiqua"/>
          <w:sz w:val="18"/>
          <w:szCs w:val="18"/>
        </w:rPr>
        <w:t>.</w:t>
      </w:r>
      <w:r w:rsidR="00150D13">
        <w:rPr>
          <w:rFonts w:ascii="Book Antiqua" w:eastAsia="Book Antiqua" w:hAnsi="Book Antiqua"/>
          <w:sz w:val="18"/>
          <w:szCs w:val="18"/>
        </w:rPr>
        <w:t>S</w:t>
      </w:r>
      <w:r w:rsidRPr="007A6863">
        <w:rPr>
          <w:rFonts w:ascii="Book Antiqua" w:eastAsia="Book Antiqua" w:hAnsi="Book Antiqua"/>
          <w:sz w:val="18"/>
          <w:szCs w:val="18"/>
        </w:rPr>
        <w:t>.</w:t>
      </w:r>
      <w:r w:rsidR="00150D13">
        <w:rPr>
          <w:rFonts w:ascii="Book Antiqua" w:eastAsia="Book Antiqua" w:hAnsi="Book Antiqua"/>
          <w:sz w:val="18"/>
          <w:szCs w:val="18"/>
        </w:rPr>
        <w:t>P</w:t>
      </w:r>
      <w:r w:rsidRPr="007A6863">
        <w:rPr>
          <w:rFonts w:ascii="Book Antiqua" w:eastAsia="Book Antiqua" w:hAnsi="Book Antiqua"/>
          <w:sz w:val="18"/>
          <w:szCs w:val="18"/>
        </w:rPr>
        <w:t xml:space="preserve">.; writing—review and editing, </w:t>
      </w:r>
      <w:r w:rsidR="00150D13">
        <w:rPr>
          <w:rFonts w:ascii="Book Antiqua" w:eastAsia="Book Antiqua" w:hAnsi="Book Antiqua"/>
          <w:sz w:val="18"/>
          <w:szCs w:val="18"/>
        </w:rPr>
        <w:t>G.S.P</w:t>
      </w:r>
      <w:r w:rsidRPr="007A6863">
        <w:rPr>
          <w:rFonts w:ascii="Book Antiqua" w:eastAsia="Book Antiqua" w:hAnsi="Book Antiqua"/>
          <w:sz w:val="18"/>
          <w:szCs w:val="18"/>
        </w:rPr>
        <w:t xml:space="preserve">., </w:t>
      </w:r>
      <w:r w:rsidR="00150D13" w:rsidRPr="007A6863">
        <w:rPr>
          <w:rFonts w:ascii="Book Antiqua" w:eastAsia="Book Antiqua" w:hAnsi="Book Antiqua"/>
          <w:sz w:val="18"/>
          <w:szCs w:val="18"/>
        </w:rPr>
        <w:t>A.S.R.S</w:t>
      </w:r>
      <w:r w:rsidRPr="007A6863">
        <w:rPr>
          <w:rFonts w:ascii="Book Antiqua" w:eastAsia="Book Antiqua" w:hAnsi="Book Antiqua"/>
          <w:sz w:val="18"/>
          <w:szCs w:val="18"/>
        </w:rPr>
        <w:t>.; supervision, A.S.R.S., and T.D.</w:t>
      </w:r>
    </w:p>
    <w:p w14:paraId="756A1A18" w14:textId="77777777" w:rsidR="00283211" w:rsidRPr="003638C8" w:rsidRDefault="00283211" w:rsidP="003220CF">
      <w:pPr>
        <w:jc w:val="both"/>
        <w:rPr>
          <w:rFonts w:ascii="Book Antiqua" w:eastAsia="Book Antiqua" w:hAnsi="Book Antiqua"/>
          <w:b/>
          <w:sz w:val="18"/>
          <w:szCs w:val="18"/>
        </w:rPr>
      </w:pPr>
    </w:p>
    <w:p w14:paraId="027804C8" w14:textId="17A7C546" w:rsidR="0077631D" w:rsidRPr="003638C8" w:rsidRDefault="002C5B73" w:rsidP="003220CF">
      <w:pPr>
        <w:jc w:val="both"/>
        <w:rPr>
          <w:rFonts w:ascii="Book Antiqua" w:eastAsia="Book Antiqua" w:hAnsi="Book Antiqua"/>
          <w:b/>
          <w:sz w:val="18"/>
          <w:szCs w:val="18"/>
        </w:rPr>
      </w:pPr>
      <w:r w:rsidRPr="003638C8">
        <w:rPr>
          <w:rFonts w:ascii="Book Antiqua" w:eastAsia="Book Antiqua" w:hAnsi="Book Antiqua"/>
          <w:b/>
          <w:sz w:val="18"/>
          <w:szCs w:val="18"/>
        </w:rPr>
        <w:t>Funding</w:t>
      </w:r>
    </w:p>
    <w:p w14:paraId="515C1C16" w14:textId="77777777" w:rsidR="0077631D" w:rsidRPr="003638C8" w:rsidRDefault="00283211" w:rsidP="003220CF">
      <w:pPr>
        <w:pBdr>
          <w:top w:val="nil"/>
          <w:left w:val="nil"/>
          <w:bottom w:val="nil"/>
          <w:right w:val="nil"/>
          <w:between w:val="nil"/>
        </w:pBdr>
        <w:jc w:val="both"/>
        <w:rPr>
          <w:rFonts w:ascii="Book Antiqua" w:eastAsia="Palatino Linotype" w:hAnsi="Book Antiqua"/>
          <w:color w:val="000000"/>
          <w:sz w:val="18"/>
          <w:szCs w:val="18"/>
        </w:rPr>
      </w:pPr>
      <w:r w:rsidRPr="003638C8">
        <w:rPr>
          <w:rFonts w:ascii="Book Antiqua" w:eastAsia="Palatino Linotype" w:hAnsi="Book Antiqua"/>
          <w:color w:val="000000"/>
          <w:sz w:val="18"/>
          <w:szCs w:val="18"/>
        </w:rPr>
        <w:t>Funding This research did not receive any external funding.</w:t>
      </w:r>
    </w:p>
    <w:p w14:paraId="55AE5102" w14:textId="77777777" w:rsidR="0077631D" w:rsidRPr="003638C8" w:rsidRDefault="0077631D" w:rsidP="003220CF">
      <w:pPr>
        <w:pBdr>
          <w:top w:val="nil"/>
          <w:left w:val="nil"/>
          <w:bottom w:val="nil"/>
          <w:right w:val="nil"/>
          <w:between w:val="nil"/>
        </w:pBdr>
        <w:jc w:val="both"/>
        <w:rPr>
          <w:rFonts w:ascii="Book Antiqua" w:eastAsia="Palatino Linotype" w:hAnsi="Book Antiqua"/>
          <w:color w:val="000000"/>
          <w:sz w:val="18"/>
          <w:szCs w:val="18"/>
        </w:rPr>
      </w:pPr>
    </w:p>
    <w:p w14:paraId="1B66A27B" w14:textId="77777777" w:rsidR="0077631D" w:rsidRPr="003638C8" w:rsidRDefault="00283211" w:rsidP="003220CF">
      <w:pPr>
        <w:pBdr>
          <w:top w:val="nil"/>
          <w:left w:val="nil"/>
          <w:bottom w:val="nil"/>
          <w:right w:val="nil"/>
          <w:between w:val="nil"/>
        </w:pBdr>
        <w:jc w:val="both"/>
        <w:rPr>
          <w:rFonts w:ascii="Book Antiqua" w:eastAsia="Palatino Linotype" w:hAnsi="Book Antiqua"/>
          <w:b/>
          <w:color w:val="000000"/>
          <w:sz w:val="18"/>
          <w:szCs w:val="18"/>
        </w:rPr>
      </w:pPr>
      <w:r w:rsidRPr="003638C8">
        <w:rPr>
          <w:rFonts w:ascii="Book Antiqua" w:eastAsia="Palatino Linotype" w:hAnsi="Book Antiqua"/>
          <w:b/>
          <w:color w:val="000000"/>
          <w:sz w:val="18"/>
          <w:szCs w:val="18"/>
        </w:rPr>
        <w:t>Conflict of Interest</w:t>
      </w:r>
    </w:p>
    <w:p w14:paraId="4B73F99D" w14:textId="77777777" w:rsidR="00283211" w:rsidRDefault="00283211" w:rsidP="003220CF">
      <w:pPr>
        <w:pBdr>
          <w:top w:val="nil"/>
          <w:left w:val="nil"/>
          <w:bottom w:val="nil"/>
          <w:right w:val="nil"/>
          <w:between w:val="nil"/>
        </w:pBdr>
        <w:jc w:val="both"/>
        <w:rPr>
          <w:rFonts w:ascii="Book Antiqua" w:eastAsia="Palatino Linotype" w:hAnsi="Book Antiqua"/>
          <w:color w:val="000000"/>
          <w:sz w:val="18"/>
          <w:szCs w:val="18"/>
        </w:rPr>
      </w:pPr>
      <w:r w:rsidRPr="003638C8">
        <w:rPr>
          <w:rFonts w:ascii="Book Antiqua" w:eastAsia="Palatino Linotype" w:hAnsi="Book Antiqua"/>
          <w:color w:val="000000"/>
          <w:sz w:val="18"/>
          <w:szCs w:val="18"/>
        </w:rPr>
        <w:t>The authors declare no conflict of interest.</w:t>
      </w:r>
    </w:p>
    <w:p w14:paraId="559FB063" w14:textId="77777777" w:rsidR="003220CF" w:rsidRPr="003220CF" w:rsidRDefault="003220CF" w:rsidP="003220CF">
      <w:pPr>
        <w:pBdr>
          <w:top w:val="nil"/>
          <w:left w:val="nil"/>
          <w:bottom w:val="nil"/>
          <w:right w:val="nil"/>
          <w:between w:val="nil"/>
        </w:pBdr>
        <w:jc w:val="both"/>
        <w:rPr>
          <w:rFonts w:ascii="Book Antiqua" w:eastAsia="Palatino Linotype" w:hAnsi="Book Antiqua"/>
          <w:color w:val="000000"/>
          <w:sz w:val="20"/>
          <w:szCs w:val="18"/>
        </w:rPr>
      </w:pPr>
    </w:p>
    <w:p w14:paraId="3B3BC6F7" w14:textId="6A3E9C94" w:rsidR="00117F5D" w:rsidRDefault="00117F5D" w:rsidP="003220CF">
      <w:pPr>
        <w:jc w:val="both"/>
        <w:rPr>
          <w:rFonts w:ascii="Book Antiqua" w:eastAsia="Book Antiqua" w:hAnsi="Book Antiqua" w:cs="Book Antiqua"/>
          <w:b/>
          <w:sz w:val="22"/>
          <w:szCs w:val="22"/>
          <w:lang w:val="pt-BR"/>
        </w:rPr>
      </w:pPr>
      <w:r w:rsidRPr="00D51CF0">
        <w:rPr>
          <w:rFonts w:ascii="Book Antiqua" w:eastAsia="Book Antiqua" w:hAnsi="Book Antiqua" w:cs="Book Antiqua"/>
          <w:b/>
          <w:sz w:val="22"/>
          <w:szCs w:val="22"/>
          <w:lang w:val="pt-BR"/>
        </w:rPr>
        <w:t>Reference</w:t>
      </w:r>
      <w:r w:rsidR="003220CF">
        <w:rPr>
          <w:rFonts w:ascii="Book Antiqua" w:eastAsia="Book Antiqua" w:hAnsi="Book Antiqua" w:cs="Book Antiqua"/>
          <w:b/>
          <w:sz w:val="22"/>
          <w:szCs w:val="22"/>
          <w:lang w:val="pt-BR"/>
        </w:rPr>
        <w:t>s</w:t>
      </w:r>
    </w:p>
    <w:p w14:paraId="3B037E59" w14:textId="77777777" w:rsidR="003220CF" w:rsidRPr="003220CF" w:rsidRDefault="003220CF" w:rsidP="003220CF">
      <w:pPr>
        <w:jc w:val="both"/>
        <w:rPr>
          <w:rFonts w:ascii="Book Antiqua" w:eastAsia="Book Antiqua" w:hAnsi="Book Antiqua" w:cs="Book Antiqua"/>
          <w:b/>
          <w:sz w:val="20"/>
          <w:szCs w:val="22"/>
          <w:lang w:val="pt-BR"/>
        </w:rPr>
      </w:pPr>
    </w:p>
    <w:p w14:paraId="07087BB6" w14:textId="6F6B31EA"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eastAsia="Book Antiqua" w:hAnsi="Book Antiqua" w:cs="Book Antiqua"/>
          <w:b/>
          <w:sz w:val="20"/>
          <w:szCs w:val="20"/>
        </w:rPr>
        <w:fldChar w:fldCharType="begin" w:fldLock="1"/>
      </w:r>
      <w:r w:rsidRPr="00FC2215">
        <w:rPr>
          <w:rFonts w:ascii="Book Antiqua" w:eastAsia="Book Antiqua" w:hAnsi="Book Antiqua" w:cs="Book Antiqua"/>
          <w:b/>
          <w:sz w:val="20"/>
          <w:szCs w:val="20"/>
        </w:rPr>
        <w:instrText xml:space="preserve">ADDIN Mendeley Bibliography CSL_BIBLIOGRAPHY </w:instrText>
      </w:r>
      <w:r w:rsidRPr="00FC2215">
        <w:rPr>
          <w:rFonts w:ascii="Book Antiqua" w:eastAsia="Book Antiqua" w:hAnsi="Book Antiqua" w:cs="Book Antiqua"/>
          <w:b/>
          <w:sz w:val="20"/>
          <w:szCs w:val="20"/>
        </w:rPr>
        <w:fldChar w:fldCharType="separate"/>
      </w:r>
      <w:r w:rsidRPr="00FC2215">
        <w:rPr>
          <w:rFonts w:ascii="Book Antiqua" w:hAnsi="Book Antiqua"/>
          <w:noProof/>
          <w:sz w:val="20"/>
          <w:szCs w:val="22"/>
        </w:rPr>
        <w:t xml:space="preserve">Ackom, E. K., Adjei, K. A., &amp; Odai, S. N. (2020). Spatio-temporal rainfall trend and homogeneity analysis in flood prone area: case study of Odaw river basin-Ghana. </w:t>
      </w:r>
      <w:r w:rsidRPr="00FC2215">
        <w:rPr>
          <w:rFonts w:ascii="Book Antiqua" w:hAnsi="Book Antiqua"/>
          <w:i/>
          <w:iCs/>
          <w:noProof/>
          <w:sz w:val="20"/>
          <w:szCs w:val="22"/>
        </w:rPr>
        <w:t>SN Applied Sciences</w:t>
      </w:r>
      <w:r w:rsidRPr="00FC2215">
        <w:rPr>
          <w:rFonts w:ascii="Book Antiqua" w:hAnsi="Book Antiqua"/>
          <w:noProof/>
          <w:sz w:val="20"/>
          <w:szCs w:val="22"/>
        </w:rPr>
        <w:t xml:space="preserve">, </w:t>
      </w:r>
      <w:r w:rsidRPr="00FC2215">
        <w:rPr>
          <w:rFonts w:ascii="Book Antiqua" w:hAnsi="Book Antiqua"/>
          <w:i/>
          <w:iCs/>
          <w:noProof/>
          <w:sz w:val="20"/>
          <w:szCs w:val="22"/>
        </w:rPr>
        <w:t>2</w:t>
      </w:r>
      <w:r w:rsidRPr="00FC2215">
        <w:rPr>
          <w:rFonts w:ascii="Book Antiqua" w:hAnsi="Book Antiqua"/>
          <w:noProof/>
          <w:sz w:val="20"/>
          <w:szCs w:val="22"/>
        </w:rPr>
        <w:t>(12), 1–26. https://doi.org/10.1007/s42452-020-03924-3</w:t>
      </w:r>
    </w:p>
    <w:p w14:paraId="6B7EACF0"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Adhikari, K., Chhetri, K., Basnet, E., Chozom, K., Sharma, K., Giri, A., Bumpa, L., &amp; Sharma, V. (2022). Identification of Inconsistencies in Historic Rainfall Records of the Himalayas of Bhutan. </w:t>
      </w:r>
      <w:r w:rsidRPr="00FC2215">
        <w:rPr>
          <w:rFonts w:ascii="Book Antiqua" w:hAnsi="Book Antiqua"/>
          <w:i/>
          <w:iCs/>
          <w:noProof/>
          <w:sz w:val="20"/>
          <w:szCs w:val="22"/>
        </w:rPr>
        <w:t>Journal of Water Engineering and Management</w:t>
      </w:r>
      <w:r w:rsidRPr="00FC2215">
        <w:rPr>
          <w:rFonts w:ascii="Book Antiqua" w:hAnsi="Book Antiqua"/>
          <w:noProof/>
          <w:sz w:val="20"/>
          <w:szCs w:val="22"/>
        </w:rPr>
        <w:t xml:space="preserve">, </w:t>
      </w:r>
      <w:r w:rsidRPr="00FC2215">
        <w:rPr>
          <w:rFonts w:ascii="Book Antiqua" w:hAnsi="Book Antiqua"/>
          <w:i/>
          <w:iCs/>
          <w:noProof/>
          <w:sz w:val="20"/>
          <w:szCs w:val="22"/>
        </w:rPr>
        <w:t>3</w:t>
      </w:r>
      <w:r w:rsidRPr="00FC2215">
        <w:rPr>
          <w:rFonts w:ascii="Book Antiqua" w:hAnsi="Book Antiqua"/>
          <w:noProof/>
          <w:sz w:val="20"/>
          <w:szCs w:val="22"/>
        </w:rPr>
        <w:t>(2), 31–45. https://doi.org/10.47884/jweam.v3i2pp31-45</w:t>
      </w:r>
    </w:p>
    <w:p w14:paraId="75BD5963"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Ariska, M., Suhadi, Supari, Irfan, M., &amp; Iskandar, I. (2024). Detection of Dominant Rainfall Patterns in </w:t>
      </w:r>
      <w:r w:rsidRPr="00FC2215">
        <w:rPr>
          <w:rFonts w:ascii="Book Antiqua" w:hAnsi="Book Antiqua"/>
          <w:noProof/>
          <w:sz w:val="20"/>
          <w:szCs w:val="22"/>
        </w:rPr>
        <w:t xml:space="preserve">Indonesian Regions Using Empirical Orthogonal Function (EOF) and Its Relation with ENSO and IOD Events. </w:t>
      </w:r>
      <w:r w:rsidRPr="00FC2215">
        <w:rPr>
          <w:rFonts w:ascii="Book Antiqua" w:hAnsi="Book Antiqua"/>
          <w:i/>
          <w:iCs/>
          <w:noProof/>
          <w:sz w:val="20"/>
          <w:szCs w:val="22"/>
        </w:rPr>
        <w:t>Science and Technology Indonesia</w:t>
      </w:r>
      <w:r w:rsidRPr="00FC2215">
        <w:rPr>
          <w:rFonts w:ascii="Book Antiqua" w:hAnsi="Book Antiqua"/>
          <w:noProof/>
          <w:sz w:val="20"/>
          <w:szCs w:val="22"/>
        </w:rPr>
        <w:t xml:space="preserve">, </w:t>
      </w:r>
      <w:r w:rsidRPr="00FC2215">
        <w:rPr>
          <w:rFonts w:ascii="Book Antiqua" w:hAnsi="Book Antiqua"/>
          <w:i/>
          <w:iCs/>
          <w:noProof/>
          <w:sz w:val="20"/>
          <w:szCs w:val="22"/>
        </w:rPr>
        <w:t>9</w:t>
      </w:r>
      <w:r w:rsidRPr="00FC2215">
        <w:rPr>
          <w:rFonts w:ascii="Book Antiqua" w:hAnsi="Book Antiqua"/>
          <w:noProof/>
          <w:sz w:val="20"/>
          <w:szCs w:val="22"/>
        </w:rPr>
        <w:t>(4), 1009–1023. https://doi.org/10.26554/sti.2024.9.4.1009-1023</w:t>
      </w:r>
    </w:p>
    <w:p w14:paraId="7C1B21DF"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Chakraborty, S., Pan, S., Pal, S. C., Islam, A. R. M. T., Alam, E., &amp; Islam, M. K. (2025). Evaluating the impact of rainfall patterns on sustainable agricultural crop production. </w:t>
      </w:r>
      <w:r w:rsidRPr="00FC2215">
        <w:rPr>
          <w:rFonts w:ascii="Book Antiqua" w:hAnsi="Book Antiqua"/>
          <w:i/>
          <w:iCs/>
          <w:noProof/>
          <w:sz w:val="20"/>
          <w:szCs w:val="22"/>
        </w:rPr>
        <w:t>Discover Sustainability</w:t>
      </w:r>
      <w:r w:rsidRPr="00FC2215">
        <w:rPr>
          <w:rFonts w:ascii="Book Antiqua" w:hAnsi="Book Antiqua"/>
          <w:noProof/>
          <w:sz w:val="20"/>
          <w:szCs w:val="22"/>
        </w:rPr>
        <w:t xml:space="preserve">, </w:t>
      </w:r>
      <w:r w:rsidRPr="00FC2215">
        <w:rPr>
          <w:rFonts w:ascii="Book Antiqua" w:hAnsi="Book Antiqua"/>
          <w:i/>
          <w:iCs/>
          <w:noProof/>
          <w:sz w:val="20"/>
          <w:szCs w:val="22"/>
        </w:rPr>
        <w:t>6</w:t>
      </w:r>
      <w:r w:rsidRPr="00FC2215">
        <w:rPr>
          <w:rFonts w:ascii="Book Antiqua" w:hAnsi="Book Antiqua"/>
          <w:noProof/>
          <w:sz w:val="20"/>
          <w:szCs w:val="22"/>
        </w:rPr>
        <w:t>(1). https://doi.org/10.1007/s43621-025-01392-6</w:t>
      </w:r>
    </w:p>
    <w:p w14:paraId="37EF7268" w14:textId="72F11B2D"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Eris, E., &amp; Agiralioglu, N. (2012). Homogeneity and Trend Analysis of Hydrometeorological Data of the Eastern Black Sea Region , Turkey. </w:t>
      </w:r>
      <w:r w:rsidRPr="00FC2215">
        <w:rPr>
          <w:rFonts w:ascii="Book Antiqua" w:hAnsi="Book Antiqua"/>
          <w:i/>
          <w:iCs/>
          <w:noProof/>
          <w:sz w:val="20"/>
          <w:szCs w:val="22"/>
        </w:rPr>
        <w:t>Journal of Water Resource and Protection</w:t>
      </w:r>
      <w:r w:rsidRPr="00FC2215">
        <w:rPr>
          <w:rFonts w:ascii="Book Antiqua" w:hAnsi="Book Antiqua"/>
          <w:noProof/>
          <w:sz w:val="20"/>
          <w:szCs w:val="22"/>
        </w:rPr>
        <w:t xml:space="preserve">, </w:t>
      </w:r>
      <w:r w:rsidRPr="00FC2215">
        <w:rPr>
          <w:rFonts w:ascii="Book Antiqua" w:hAnsi="Book Antiqua"/>
          <w:i/>
          <w:iCs/>
          <w:noProof/>
          <w:sz w:val="20"/>
          <w:szCs w:val="22"/>
        </w:rPr>
        <w:t>2012</w:t>
      </w:r>
      <w:r w:rsidRPr="00FC2215">
        <w:rPr>
          <w:rFonts w:ascii="Book Antiqua" w:hAnsi="Book Antiqua"/>
          <w:noProof/>
          <w:sz w:val="20"/>
          <w:szCs w:val="22"/>
        </w:rPr>
        <w:t>(February), 99–105. ht</w:t>
      </w:r>
      <w:r w:rsidR="003655D3">
        <w:rPr>
          <w:rFonts w:ascii="Book Antiqua" w:hAnsi="Book Antiqua"/>
          <w:noProof/>
          <w:sz w:val="20"/>
          <w:szCs w:val="22"/>
        </w:rPr>
        <w:t>tps://doi.org/</w:t>
      </w:r>
      <w:r w:rsidRPr="00FC2215">
        <w:rPr>
          <w:rFonts w:ascii="Book Antiqua" w:hAnsi="Book Antiqua"/>
          <w:noProof/>
          <w:sz w:val="20"/>
          <w:szCs w:val="22"/>
        </w:rPr>
        <w:t>10.4236/jwarp.2012.42012</w:t>
      </w:r>
    </w:p>
    <w:p w14:paraId="6A321C0E"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Faraslis, I., Dalezios, N. R., Alpanakis, N., Tziatzios, G. A., Spiliotopoulos, M., Sakellariou, S., Sidiropoulos, P., Dercas, N., Domínguez, A., Martínez-López, J. A., López-Urrea, R., Karam, F., Amami, H., &amp; Nciri, R. (2023). Remotely Sensed Agroclimatic Classification and Zoning in Water-Limited Mediterranean Areas towards Sustainable Agriculture. </w:t>
      </w:r>
      <w:r w:rsidRPr="00FC2215">
        <w:rPr>
          <w:rFonts w:ascii="Book Antiqua" w:hAnsi="Book Antiqua"/>
          <w:i/>
          <w:iCs/>
          <w:noProof/>
          <w:sz w:val="20"/>
          <w:szCs w:val="22"/>
        </w:rPr>
        <w:t>Remote Sensing</w:t>
      </w:r>
      <w:r w:rsidRPr="00FC2215">
        <w:rPr>
          <w:rFonts w:ascii="Book Antiqua" w:hAnsi="Book Antiqua"/>
          <w:noProof/>
          <w:sz w:val="20"/>
          <w:szCs w:val="22"/>
        </w:rPr>
        <w:t xml:space="preserve">, </w:t>
      </w:r>
      <w:r w:rsidRPr="00FC2215">
        <w:rPr>
          <w:rFonts w:ascii="Book Antiqua" w:hAnsi="Book Antiqua"/>
          <w:i/>
          <w:iCs/>
          <w:noProof/>
          <w:sz w:val="20"/>
          <w:szCs w:val="22"/>
        </w:rPr>
        <w:t>15</w:t>
      </w:r>
      <w:r w:rsidRPr="00FC2215">
        <w:rPr>
          <w:rFonts w:ascii="Book Antiqua" w:hAnsi="Book Antiqua"/>
          <w:noProof/>
          <w:sz w:val="20"/>
          <w:szCs w:val="22"/>
        </w:rPr>
        <w:t>(24). https://doi.org/10.3390/rs15245720</w:t>
      </w:r>
    </w:p>
    <w:p w14:paraId="1F6B424B" w14:textId="7AE3E503"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Ferguson, &amp; Padang, K. (2023). </w:t>
      </w:r>
      <w:r w:rsidRPr="003655D3">
        <w:rPr>
          <w:rFonts w:ascii="Book Antiqua" w:hAnsi="Book Antiqua"/>
          <w:iCs/>
          <w:noProof/>
          <w:sz w:val="20"/>
          <w:szCs w:val="22"/>
        </w:rPr>
        <w:t>Analisis Klasifikasi Tipe Iklim Dari Data Curah Hujan Menggunakan Metode Schmidt-Ferguson Di Kabupaten Padang Pariaman</w:t>
      </w:r>
      <w:r w:rsidRPr="00FC2215">
        <w:rPr>
          <w:rFonts w:ascii="Book Antiqua" w:hAnsi="Book Antiqua"/>
          <w:noProof/>
          <w:sz w:val="20"/>
          <w:szCs w:val="22"/>
        </w:rPr>
        <w:t xml:space="preserve">. </w:t>
      </w:r>
      <w:r w:rsidR="003655D3" w:rsidRPr="003655D3">
        <w:rPr>
          <w:rFonts w:ascii="Book Antiqua" w:hAnsi="Book Antiqua"/>
          <w:i/>
          <w:noProof/>
          <w:sz w:val="20"/>
          <w:szCs w:val="22"/>
        </w:rPr>
        <w:t>Jurnal Teori dan Aplikasi Fisika,</w:t>
      </w:r>
      <w:r w:rsidR="003655D3" w:rsidRPr="003655D3">
        <w:rPr>
          <w:rFonts w:ascii="Book Antiqua" w:hAnsi="Book Antiqua"/>
          <w:noProof/>
          <w:sz w:val="20"/>
          <w:szCs w:val="22"/>
        </w:rPr>
        <w:t xml:space="preserve"> 29-38.</w:t>
      </w:r>
      <w:r w:rsidR="003655D3">
        <w:rPr>
          <w:rFonts w:ascii="Book Antiqua" w:hAnsi="Book Antiqua"/>
          <w:noProof/>
          <w:sz w:val="20"/>
          <w:szCs w:val="22"/>
        </w:rPr>
        <w:t xml:space="preserve"> </w:t>
      </w:r>
      <w:r w:rsidRPr="00FC2215">
        <w:rPr>
          <w:rFonts w:ascii="Book Antiqua" w:hAnsi="Book Antiqua"/>
          <w:noProof/>
          <w:sz w:val="20"/>
          <w:szCs w:val="22"/>
        </w:rPr>
        <w:t>https://doi.org/10.59841/saber.v3i1.2205</w:t>
      </w:r>
    </w:p>
    <w:p w14:paraId="70DAFEBA"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Gradiyanto, F., Parmantoro, P. N., &amp; Suharyanto. (2025). Impact of climate change on Kupang River flow and hydrological extremes in Greater Pekalongan, Indonesia. </w:t>
      </w:r>
      <w:r w:rsidRPr="00FC2215">
        <w:rPr>
          <w:rFonts w:ascii="Book Antiqua" w:hAnsi="Book Antiqua"/>
          <w:i/>
          <w:iCs/>
          <w:noProof/>
          <w:sz w:val="20"/>
          <w:szCs w:val="22"/>
        </w:rPr>
        <w:t>Water Science and Engineering</w:t>
      </w:r>
      <w:r w:rsidRPr="00FC2215">
        <w:rPr>
          <w:rFonts w:ascii="Book Antiqua" w:hAnsi="Book Antiqua"/>
          <w:noProof/>
          <w:sz w:val="20"/>
          <w:szCs w:val="22"/>
        </w:rPr>
        <w:t xml:space="preserve">, </w:t>
      </w:r>
      <w:r w:rsidRPr="00FC2215">
        <w:rPr>
          <w:rFonts w:ascii="Book Antiqua" w:hAnsi="Book Antiqua"/>
          <w:i/>
          <w:iCs/>
          <w:noProof/>
          <w:sz w:val="20"/>
          <w:szCs w:val="22"/>
        </w:rPr>
        <w:t>18</w:t>
      </w:r>
      <w:r w:rsidRPr="00FC2215">
        <w:rPr>
          <w:rFonts w:ascii="Book Antiqua" w:hAnsi="Book Antiqua"/>
          <w:noProof/>
          <w:sz w:val="20"/>
          <w:szCs w:val="22"/>
        </w:rPr>
        <w:t>(1), 69–77. https://doi.org/10.1016/j.wse.2024.03.005</w:t>
      </w:r>
    </w:p>
    <w:p w14:paraId="1C6B0A5A"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Hanifa, R., &amp; Wiratmo, J. (2024). ENSO and IOD Influence on Extreme Rainfall in Indonesia: Historical and Future Analysis. </w:t>
      </w:r>
      <w:r w:rsidRPr="00FC2215">
        <w:rPr>
          <w:rFonts w:ascii="Book Antiqua" w:hAnsi="Book Antiqua"/>
          <w:i/>
          <w:iCs/>
          <w:noProof/>
          <w:sz w:val="20"/>
          <w:szCs w:val="22"/>
        </w:rPr>
        <w:t>Agromet</w:t>
      </w:r>
      <w:r w:rsidRPr="00FC2215">
        <w:rPr>
          <w:rFonts w:ascii="Book Antiqua" w:hAnsi="Book Antiqua"/>
          <w:noProof/>
          <w:sz w:val="20"/>
          <w:szCs w:val="22"/>
        </w:rPr>
        <w:t xml:space="preserve">, </w:t>
      </w:r>
      <w:r w:rsidRPr="00FC2215">
        <w:rPr>
          <w:rFonts w:ascii="Book Antiqua" w:hAnsi="Book Antiqua"/>
          <w:i/>
          <w:iCs/>
          <w:noProof/>
          <w:sz w:val="20"/>
          <w:szCs w:val="22"/>
        </w:rPr>
        <w:t>38</w:t>
      </w:r>
      <w:r w:rsidRPr="00FC2215">
        <w:rPr>
          <w:rFonts w:ascii="Book Antiqua" w:hAnsi="Book Antiqua"/>
          <w:noProof/>
          <w:sz w:val="20"/>
          <w:szCs w:val="22"/>
        </w:rPr>
        <w:t>(2), 78–87. https://doi.org/10.29244/j.agromet.38.2.78-87</w:t>
      </w:r>
    </w:p>
    <w:p w14:paraId="24E9DF3A"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Hidayat, A. S. A., Baskoro, W. T., Unsuriyah, Z., Yuliara, I. M., Widagda, I. G. A., Pramarta, I. B. A., &amp; Kurnia, W. G. (2023). Analisis Spasial Penentuan Tipe Iklim Menurut Klasifikasi Schmidt-Ferguson Menggunakan Metode Thiessen-Polygon Di Kabupaten Bojonegoro Berdasarkan Data Curah Hujan Tahun 2016–2022. </w:t>
      </w:r>
      <w:r w:rsidRPr="00FC2215">
        <w:rPr>
          <w:rFonts w:ascii="Book Antiqua" w:hAnsi="Book Antiqua"/>
          <w:i/>
          <w:iCs/>
          <w:noProof/>
          <w:sz w:val="20"/>
          <w:szCs w:val="22"/>
        </w:rPr>
        <w:t>Kappa Journal</w:t>
      </w:r>
      <w:r w:rsidRPr="00FC2215">
        <w:rPr>
          <w:rFonts w:ascii="Book Antiqua" w:hAnsi="Book Antiqua"/>
          <w:noProof/>
          <w:sz w:val="20"/>
          <w:szCs w:val="22"/>
        </w:rPr>
        <w:t xml:space="preserve">, </w:t>
      </w:r>
      <w:r w:rsidRPr="00FC2215">
        <w:rPr>
          <w:rFonts w:ascii="Book Antiqua" w:hAnsi="Book Antiqua"/>
          <w:i/>
          <w:iCs/>
          <w:noProof/>
          <w:sz w:val="20"/>
          <w:szCs w:val="22"/>
        </w:rPr>
        <w:t>7</w:t>
      </w:r>
      <w:r w:rsidRPr="00FC2215">
        <w:rPr>
          <w:rFonts w:ascii="Book Antiqua" w:hAnsi="Book Antiqua"/>
          <w:noProof/>
          <w:sz w:val="20"/>
          <w:szCs w:val="22"/>
        </w:rPr>
        <w:t>(3), 488–492. https://doi.org/10.29408/kpj.v7i3.23128</w:t>
      </w:r>
    </w:p>
    <w:p w14:paraId="25193680" w14:textId="550A56BC" w:rsidR="00F35AAD" w:rsidRPr="00FC2215" w:rsidRDefault="003655D3" w:rsidP="00FC2215">
      <w:pPr>
        <w:widowControl w:val="0"/>
        <w:autoSpaceDE w:val="0"/>
        <w:autoSpaceDN w:val="0"/>
        <w:adjustRightInd w:val="0"/>
        <w:ind w:left="480" w:hanging="480"/>
        <w:jc w:val="both"/>
        <w:rPr>
          <w:rFonts w:ascii="Book Antiqua" w:hAnsi="Book Antiqua"/>
          <w:noProof/>
          <w:sz w:val="20"/>
          <w:szCs w:val="22"/>
        </w:rPr>
      </w:pPr>
      <w:r>
        <w:rPr>
          <w:rFonts w:ascii="Book Antiqua" w:hAnsi="Book Antiqua"/>
          <w:noProof/>
          <w:sz w:val="20"/>
          <w:szCs w:val="22"/>
        </w:rPr>
        <w:t>Indrawan, Dangkua, T.</w:t>
      </w:r>
      <w:r w:rsidR="00F35AAD" w:rsidRPr="00FC2215">
        <w:rPr>
          <w:rFonts w:ascii="Book Antiqua" w:hAnsi="Book Antiqua"/>
          <w:noProof/>
          <w:sz w:val="20"/>
          <w:szCs w:val="22"/>
        </w:rPr>
        <w:t xml:space="preserve">, &amp; Jaya, R. (2025). Comparative Morphometric Analysis for Flood Risk Assessment in Alo and Molamahu Sub-Watersheds, Gorontalo Regency. </w:t>
      </w:r>
      <w:r w:rsidR="00F35AAD" w:rsidRPr="00FC2215">
        <w:rPr>
          <w:rFonts w:ascii="Book Antiqua" w:hAnsi="Book Antiqua"/>
          <w:i/>
          <w:iCs/>
          <w:noProof/>
          <w:sz w:val="20"/>
          <w:szCs w:val="22"/>
        </w:rPr>
        <w:t>Jurnal Penelitian Pendidikan IPA</w:t>
      </w:r>
      <w:r w:rsidR="00F35AAD" w:rsidRPr="00FC2215">
        <w:rPr>
          <w:rFonts w:ascii="Book Antiqua" w:hAnsi="Book Antiqua"/>
          <w:noProof/>
          <w:sz w:val="20"/>
          <w:szCs w:val="22"/>
        </w:rPr>
        <w:t xml:space="preserve">, </w:t>
      </w:r>
      <w:r w:rsidR="00F35AAD" w:rsidRPr="00FC2215">
        <w:rPr>
          <w:rFonts w:ascii="Book Antiqua" w:hAnsi="Book Antiqua"/>
          <w:i/>
          <w:iCs/>
          <w:noProof/>
          <w:sz w:val="20"/>
          <w:szCs w:val="22"/>
        </w:rPr>
        <w:t>11</w:t>
      </w:r>
      <w:r w:rsidR="00F35AAD" w:rsidRPr="00FC2215">
        <w:rPr>
          <w:rFonts w:ascii="Book Antiqua" w:hAnsi="Book Antiqua"/>
          <w:noProof/>
          <w:sz w:val="20"/>
          <w:szCs w:val="22"/>
        </w:rPr>
        <w:t>(8), 535–545. https://doi.org/10.29303/jppipa.v11i8.11924</w:t>
      </w:r>
    </w:p>
    <w:p w14:paraId="534C84EC"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Khalil, A. (2021). Inhomogeneity detection in the rainfall series for the Mae Klong River Basin , Thailand. </w:t>
      </w:r>
      <w:r w:rsidRPr="00FC2215">
        <w:rPr>
          <w:rFonts w:ascii="Book Antiqua" w:hAnsi="Book Antiqua"/>
          <w:i/>
          <w:iCs/>
          <w:noProof/>
          <w:sz w:val="20"/>
          <w:szCs w:val="22"/>
        </w:rPr>
        <w:lastRenderedPageBreak/>
        <w:t>Applied Water Science</w:t>
      </w:r>
      <w:r w:rsidRPr="00FC2215">
        <w:rPr>
          <w:rFonts w:ascii="Book Antiqua" w:hAnsi="Book Antiqua"/>
          <w:noProof/>
          <w:sz w:val="20"/>
          <w:szCs w:val="22"/>
        </w:rPr>
        <w:t xml:space="preserve">, </w:t>
      </w:r>
      <w:r w:rsidRPr="00FC2215">
        <w:rPr>
          <w:rFonts w:ascii="Book Antiqua" w:hAnsi="Book Antiqua"/>
          <w:i/>
          <w:iCs/>
          <w:noProof/>
          <w:sz w:val="20"/>
          <w:szCs w:val="22"/>
        </w:rPr>
        <w:t>11</w:t>
      </w:r>
      <w:r w:rsidRPr="00FC2215">
        <w:rPr>
          <w:rFonts w:ascii="Book Antiqua" w:hAnsi="Book Antiqua"/>
          <w:noProof/>
          <w:sz w:val="20"/>
          <w:szCs w:val="22"/>
        </w:rPr>
        <w:t>(9), 1–11. https://doi.org/10.1007/s13201-021-01474-6</w:t>
      </w:r>
    </w:p>
    <w:p w14:paraId="399422F5"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Koem, S., &amp; Rusiyah, R. (2018). Spatiotemporal Characteristics of Meteorological Drought in Gorontalo Regency in 1981- 2016. </w:t>
      </w:r>
      <w:r w:rsidRPr="00FC2215">
        <w:rPr>
          <w:rFonts w:ascii="Book Antiqua" w:hAnsi="Book Antiqua"/>
          <w:i/>
          <w:iCs/>
          <w:noProof/>
          <w:sz w:val="20"/>
          <w:szCs w:val="22"/>
        </w:rPr>
        <w:t>Jurnal Pengelolaan Sumberdaya Alam Dan Lingkungan (Journal of Natural Resources and Environmental Management)</w:t>
      </w:r>
      <w:r w:rsidRPr="00FC2215">
        <w:rPr>
          <w:rFonts w:ascii="Book Antiqua" w:hAnsi="Book Antiqua"/>
          <w:noProof/>
          <w:sz w:val="20"/>
          <w:szCs w:val="22"/>
        </w:rPr>
        <w:t xml:space="preserve">, </w:t>
      </w:r>
      <w:r w:rsidRPr="00FC2215">
        <w:rPr>
          <w:rFonts w:ascii="Book Antiqua" w:hAnsi="Book Antiqua"/>
          <w:i/>
          <w:iCs/>
          <w:noProof/>
          <w:sz w:val="20"/>
          <w:szCs w:val="22"/>
        </w:rPr>
        <w:t>8</w:t>
      </w:r>
      <w:r w:rsidRPr="00FC2215">
        <w:rPr>
          <w:rFonts w:ascii="Book Antiqua" w:hAnsi="Book Antiqua"/>
          <w:noProof/>
          <w:sz w:val="20"/>
          <w:szCs w:val="22"/>
        </w:rPr>
        <w:t>(3), 355–364. https://doi.org/10.29244/jpsl.8.3.355-364</w:t>
      </w:r>
    </w:p>
    <w:p w14:paraId="030DE6F3" w14:textId="3E2C9F6D"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Korres, W., Reichenau, T. G., Fiener, P., Koyama, C. N., Bogena, H. R., Cornelissen, T., Baatz, R., Herbst, M., Diekkrüger, B., Vereecken, H., &amp; Schneider, K. (2021). Spatio-temporal soil moisture patterns – A meta-analysis using plot to catchment scale data. </w:t>
      </w:r>
      <w:r w:rsidR="003655D3">
        <w:rPr>
          <w:rFonts w:ascii="Book Antiqua" w:hAnsi="Book Antiqua"/>
          <w:i/>
          <w:iCs/>
          <w:noProof/>
          <w:sz w:val="20"/>
          <w:szCs w:val="22"/>
        </w:rPr>
        <w:t>Journal o</w:t>
      </w:r>
      <w:r w:rsidR="003655D3" w:rsidRPr="00FC2215">
        <w:rPr>
          <w:rFonts w:ascii="Book Antiqua" w:hAnsi="Book Antiqua"/>
          <w:i/>
          <w:iCs/>
          <w:noProof/>
          <w:sz w:val="20"/>
          <w:szCs w:val="22"/>
        </w:rPr>
        <w:t>f Hydrology</w:t>
      </w:r>
      <w:r w:rsidRPr="00FC2215">
        <w:rPr>
          <w:rFonts w:ascii="Book Antiqua" w:hAnsi="Book Antiqua"/>
          <w:noProof/>
          <w:sz w:val="20"/>
          <w:szCs w:val="22"/>
        </w:rPr>
        <w:t xml:space="preserve">, </w:t>
      </w:r>
      <w:r w:rsidRPr="00FC2215">
        <w:rPr>
          <w:rFonts w:ascii="Book Antiqua" w:hAnsi="Book Antiqua"/>
          <w:i/>
          <w:iCs/>
          <w:noProof/>
          <w:sz w:val="20"/>
          <w:szCs w:val="22"/>
        </w:rPr>
        <w:t>520</w:t>
      </w:r>
      <w:r w:rsidRPr="00FC2215">
        <w:rPr>
          <w:rFonts w:ascii="Book Antiqua" w:hAnsi="Book Antiqua"/>
          <w:noProof/>
          <w:sz w:val="20"/>
          <w:szCs w:val="22"/>
        </w:rPr>
        <w:t>, 326–341. https://doi.org/10.1016/j.jhydrol.2014.11.042</w:t>
      </w:r>
    </w:p>
    <w:p w14:paraId="4761B8DE" w14:textId="5ADC9C6A"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Leonard, F., Hasanud</w:t>
      </w:r>
      <w:r w:rsidR="003655D3">
        <w:rPr>
          <w:rFonts w:ascii="Book Antiqua" w:hAnsi="Book Antiqua"/>
          <w:noProof/>
          <w:sz w:val="20"/>
          <w:szCs w:val="22"/>
        </w:rPr>
        <w:t xml:space="preserve">din, Wahyuni, &amp; </w:t>
      </w:r>
      <w:r w:rsidRPr="00FC2215">
        <w:rPr>
          <w:rFonts w:ascii="Book Antiqua" w:hAnsi="Book Antiqua"/>
          <w:noProof/>
          <w:sz w:val="20"/>
          <w:szCs w:val="22"/>
        </w:rPr>
        <w:t>Prattyni</w:t>
      </w:r>
      <w:r w:rsidR="003655D3">
        <w:rPr>
          <w:rFonts w:ascii="Book Antiqua" w:hAnsi="Book Antiqua"/>
          <w:noProof/>
          <w:sz w:val="20"/>
          <w:szCs w:val="22"/>
        </w:rPr>
        <w:t>, V. P</w:t>
      </w:r>
      <w:r w:rsidRPr="00FC2215">
        <w:rPr>
          <w:rFonts w:ascii="Book Antiqua" w:hAnsi="Book Antiqua"/>
          <w:noProof/>
          <w:sz w:val="20"/>
          <w:szCs w:val="22"/>
        </w:rPr>
        <w:t xml:space="preserve">. (2024). </w:t>
      </w:r>
      <w:r w:rsidR="00252BFA">
        <w:rPr>
          <w:rFonts w:ascii="Book Antiqua" w:hAnsi="Book Antiqua"/>
          <w:noProof/>
          <w:sz w:val="20"/>
          <w:szCs w:val="22"/>
        </w:rPr>
        <w:t>Analisis Curah Hujan d</w:t>
      </w:r>
      <w:r w:rsidR="003655D3" w:rsidRPr="00FC2215">
        <w:rPr>
          <w:rFonts w:ascii="Book Antiqua" w:hAnsi="Book Antiqua"/>
          <w:noProof/>
          <w:sz w:val="20"/>
          <w:szCs w:val="22"/>
        </w:rPr>
        <w:t>an Klasifikasi Tipe Iklim Menggunakan Metode Schmidt-Ferguson (Studi Kasus: Danau Tempe)</w:t>
      </w:r>
      <w:r w:rsidRPr="00FC2215">
        <w:rPr>
          <w:rFonts w:ascii="Book Antiqua" w:hAnsi="Book Antiqua"/>
          <w:noProof/>
          <w:sz w:val="20"/>
          <w:szCs w:val="22"/>
        </w:rPr>
        <w:t xml:space="preserve">. </w:t>
      </w:r>
      <w:r w:rsidRPr="00FC2215">
        <w:rPr>
          <w:rFonts w:ascii="Book Antiqua" w:hAnsi="Book Antiqua"/>
          <w:i/>
          <w:iCs/>
          <w:noProof/>
          <w:sz w:val="20"/>
          <w:szCs w:val="22"/>
        </w:rPr>
        <w:t>Jurnal Media Teknik Sipil</w:t>
      </w:r>
      <w:r w:rsidRPr="00FC2215">
        <w:rPr>
          <w:rFonts w:ascii="Book Antiqua" w:hAnsi="Book Antiqua"/>
          <w:noProof/>
          <w:sz w:val="20"/>
          <w:szCs w:val="22"/>
        </w:rPr>
        <w:t xml:space="preserve">, </w:t>
      </w:r>
      <w:r w:rsidRPr="00FC2215">
        <w:rPr>
          <w:rFonts w:ascii="Book Antiqua" w:hAnsi="Book Antiqua"/>
          <w:i/>
          <w:iCs/>
          <w:noProof/>
          <w:sz w:val="20"/>
          <w:szCs w:val="22"/>
        </w:rPr>
        <w:t>2</w:t>
      </w:r>
      <w:r w:rsidRPr="00FC2215">
        <w:rPr>
          <w:rFonts w:ascii="Book Antiqua" w:hAnsi="Book Antiqua"/>
          <w:noProof/>
          <w:sz w:val="20"/>
          <w:szCs w:val="22"/>
        </w:rPr>
        <w:t>(2), 12–21. https://doi.org/10.56963/judiateks.v2i2.441</w:t>
      </w:r>
    </w:p>
    <w:p w14:paraId="0AFDE629" w14:textId="551995E1" w:rsidR="00F35AAD" w:rsidRPr="00FC2215" w:rsidRDefault="00252BFA" w:rsidP="00FC2215">
      <w:pPr>
        <w:widowControl w:val="0"/>
        <w:autoSpaceDE w:val="0"/>
        <w:autoSpaceDN w:val="0"/>
        <w:adjustRightInd w:val="0"/>
        <w:ind w:left="480" w:hanging="480"/>
        <w:jc w:val="both"/>
        <w:rPr>
          <w:rFonts w:ascii="Book Antiqua" w:hAnsi="Book Antiqua"/>
          <w:noProof/>
          <w:sz w:val="20"/>
          <w:szCs w:val="22"/>
        </w:rPr>
      </w:pPr>
      <w:r>
        <w:rPr>
          <w:rFonts w:ascii="Book Antiqua" w:hAnsi="Book Antiqua"/>
          <w:noProof/>
          <w:sz w:val="20"/>
          <w:szCs w:val="22"/>
        </w:rPr>
        <w:t xml:space="preserve">Maulana, K. M., </w:t>
      </w:r>
      <w:r w:rsidR="00F35AAD" w:rsidRPr="00FC2215">
        <w:rPr>
          <w:rFonts w:ascii="Book Antiqua" w:hAnsi="Book Antiqua"/>
          <w:noProof/>
          <w:sz w:val="20"/>
          <w:szCs w:val="22"/>
        </w:rPr>
        <w:t xml:space="preserve">Dangkua, T., Jaya, R., &amp; Mulabbi, A. (2025). Morphometric Characteristics and Their Relation to Flood Events in Paguyaman Watershed, Gorontalo. </w:t>
      </w:r>
      <w:r w:rsidR="00F35AAD" w:rsidRPr="00FC2215">
        <w:rPr>
          <w:rFonts w:ascii="Book Antiqua" w:hAnsi="Book Antiqua"/>
          <w:i/>
          <w:iCs/>
          <w:noProof/>
          <w:sz w:val="20"/>
          <w:szCs w:val="22"/>
        </w:rPr>
        <w:t>Jurnal Penelitian Pendidikan IPA</w:t>
      </w:r>
      <w:r w:rsidR="00F35AAD" w:rsidRPr="00FC2215">
        <w:rPr>
          <w:rFonts w:ascii="Book Antiqua" w:hAnsi="Book Antiqua"/>
          <w:noProof/>
          <w:sz w:val="20"/>
          <w:szCs w:val="22"/>
        </w:rPr>
        <w:t xml:space="preserve">, </w:t>
      </w:r>
      <w:r w:rsidR="00F35AAD" w:rsidRPr="00FC2215">
        <w:rPr>
          <w:rFonts w:ascii="Book Antiqua" w:hAnsi="Book Antiqua"/>
          <w:i/>
          <w:iCs/>
          <w:noProof/>
          <w:sz w:val="20"/>
          <w:szCs w:val="22"/>
        </w:rPr>
        <w:t>11</w:t>
      </w:r>
      <w:r w:rsidR="00F35AAD" w:rsidRPr="00FC2215">
        <w:rPr>
          <w:rFonts w:ascii="Book Antiqua" w:hAnsi="Book Antiqua"/>
          <w:noProof/>
          <w:sz w:val="20"/>
          <w:szCs w:val="22"/>
        </w:rPr>
        <w:t>(8), 476–488. https://doi.org/10.29303/jppipa.v11i8.11909</w:t>
      </w:r>
    </w:p>
    <w:p w14:paraId="49735E47" w14:textId="4554164C"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Moontuno, V., Maryati, S., &amp; Koem, S. (2023). Deteksi Perubahan Zona Agroklimat Schmidt-Ferguson. </w:t>
      </w:r>
      <w:r w:rsidRPr="00FC2215">
        <w:rPr>
          <w:rFonts w:ascii="Book Antiqua" w:hAnsi="Book Antiqua"/>
          <w:i/>
          <w:iCs/>
          <w:noProof/>
          <w:sz w:val="20"/>
          <w:szCs w:val="22"/>
        </w:rPr>
        <w:t>Jurnal Kajian, Penelitian Dan Pengembangan Pendidikan</w:t>
      </w:r>
      <w:r w:rsidRPr="00FC2215">
        <w:rPr>
          <w:rFonts w:ascii="Book Antiqua" w:hAnsi="Book Antiqua"/>
          <w:noProof/>
          <w:sz w:val="20"/>
          <w:szCs w:val="22"/>
        </w:rPr>
        <w:t xml:space="preserve">, </w:t>
      </w:r>
      <w:r w:rsidRPr="00FC2215">
        <w:rPr>
          <w:rFonts w:ascii="Book Antiqua" w:hAnsi="Book Antiqua"/>
          <w:i/>
          <w:iCs/>
          <w:noProof/>
          <w:sz w:val="20"/>
          <w:szCs w:val="22"/>
        </w:rPr>
        <w:t>11</w:t>
      </w:r>
      <w:r w:rsidR="00252BFA">
        <w:rPr>
          <w:rFonts w:ascii="Book Antiqua" w:hAnsi="Book Antiqua"/>
          <w:noProof/>
          <w:sz w:val="20"/>
          <w:szCs w:val="22"/>
        </w:rPr>
        <w:t xml:space="preserve">(2), 191–200. </w:t>
      </w:r>
      <w:r w:rsidRPr="00FC2215">
        <w:rPr>
          <w:rFonts w:ascii="Book Antiqua" w:hAnsi="Book Antiqua"/>
          <w:noProof/>
          <w:sz w:val="20"/>
          <w:szCs w:val="22"/>
        </w:rPr>
        <w:t>https://doi.org/10.31764/geography.v11i2.15821.</w:t>
      </w:r>
    </w:p>
    <w:p w14:paraId="69F4AA26" w14:textId="684774AB"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Moontuno, V. V., Maryati, S., &amp; Koem, S. (2023). Deteksi Perubahan Zona Agroklimat Schmidt-Ferguson Menggunakan Sistem Informasi Geografis Di Kabupaten Gorontalo. </w:t>
      </w:r>
      <w:r w:rsidR="00252BFA" w:rsidRPr="00FC2215">
        <w:rPr>
          <w:rFonts w:ascii="Book Antiqua" w:hAnsi="Book Antiqua"/>
          <w:i/>
          <w:iCs/>
          <w:noProof/>
          <w:sz w:val="20"/>
          <w:szCs w:val="22"/>
        </w:rPr>
        <w:t>Geography</w:t>
      </w:r>
      <w:r w:rsidR="00252BFA" w:rsidRPr="00FC2215">
        <w:rPr>
          <w:i/>
          <w:iCs/>
          <w:noProof/>
          <w:sz w:val="20"/>
          <w:szCs w:val="22"/>
        </w:rPr>
        <w:t> </w:t>
      </w:r>
      <w:r w:rsidRPr="00FC2215">
        <w:rPr>
          <w:rFonts w:ascii="Book Antiqua" w:hAnsi="Book Antiqua"/>
          <w:i/>
          <w:iCs/>
          <w:noProof/>
          <w:sz w:val="20"/>
          <w:szCs w:val="22"/>
        </w:rPr>
        <w:t>: Jurnal Kajian, Penelitian Dan Pengembangan Pendidikan</w:t>
      </w:r>
      <w:r w:rsidRPr="00FC2215">
        <w:rPr>
          <w:rFonts w:ascii="Book Antiqua" w:hAnsi="Book Antiqua"/>
          <w:noProof/>
          <w:sz w:val="20"/>
          <w:szCs w:val="22"/>
        </w:rPr>
        <w:t xml:space="preserve">, </w:t>
      </w:r>
      <w:r w:rsidRPr="00FC2215">
        <w:rPr>
          <w:rFonts w:ascii="Book Antiqua" w:hAnsi="Book Antiqua"/>
          <w:i/>
          <w:iCs/>
          <w:noProof/>
          <w:sz w:val="20"/>
          <w:szCs w:val="22"/>
        </w:rPr>
        <w:t>11</w:t>
      </w:r>
      <w:r w:rsidRPr="00FC2215">
        <w:rPr>
          <w:rFonts w:ascii="Book Antiqua" w:hAnsi="Book Antiqua"/>
          <w:noProof/>
          <w:sz w:val="20"/>
          <w:szCs w:val="22"/>
        </w:rPr>
        <w:t>(2), 191. https://doi.org/10.31764/geography.v11i2.15821</w:t>
      </w:r>
    </w:p>
    <w:p w14:paraId="6A306445"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Mulsandi, A., Koesmaryono, Y., Hidayat, R., Faqih, A., &amp; Sopaheluwakan, A. (2024). On The Interannual Variability of Indonesian Monsoon Rainfall (IMR): A Literature Review of The Role of its External Forcing. </w:t>
      </w:r>
      <w:r w:rsidRPr="00FC2215">
        <w:rPr>
          <w:rFonts w:ascii="Book Antiqua" w:hAnsi="Book Antiqua"/>
          <w:i/>
          <w:iCs/>
          <w:noProof/>
          <w:sz w:val="20"/>
          <w:szCs w:val="22"/>
        </w:rPr>
        <w:t>Jurnal Meteorologi Dan Geofisika</w:t>
      </w:r>
      <w:r w:rsidRPr="00FC2215">
        <w:rPr>
          <w:rFonts w:ascii="Book Antiqua" w:hAnsi="Book Antiqua"/>
          <w:noProof/>
          <w:sz w:val="20"/>
          <w:szCs w:val="22"/>
        </w:rPr>
        <w:t xml:space="preserve">, </w:t>
      </w:r>
      <w:r w:rsidRPr="00FC2215">
        <w:rPr>
          <w:rFonts w:ascii="Book Antiqua" w:hAnsi="Book Antiqua"/>
          <w:i/>
          <w:iCs/>
          <w:noProof/>
          <w:sz w:val="20"/>
          <w:szCs w:val="22"/>
        </w:rPr>
        <w:t>24</w:t>
      </w:r>
      <w:r w:rsidRPr="00FC2215">
        <w:rPr>
          <w:rFonts w:ascii="Book Antiqua" w:hAnsi="Book Antiqua"/>
          <w:noProof/>
          <w:sz w:val="20"/>
          <w:szCs w:val="22"/>
        </w:rPr>
        <w:t>(2), 115–127. https://doi.org/10.31172/jmg.v24i2.1049</w:t>
      </w:r>
    </w:p>
    <w:p w14:paraId="5D839D8E" w14:textId="02FA4450" w:rsidR="00F35AAD" w:rsidRPr="00FC2215" w:rsidRDefault="00252BFA" w:rsidP="00FC2215">
      <w:pPr>
        <w:widowControl w:val="0"/>
        <w:autoSpaceDE w:val="0"/>
        <w:autoSpaceDN w:val="0"/>
        <w:adjustRightInd w:val="0"/>
        <w:ind w:left="480" w:hanging="480"/>
        <w:jc w:val="both"/>
        <w:rPr>
          <w:rFonts w:ascii="Book Antiqua" w:hAnsi="Book Antiqua"/>
          <w:noProof/>
          <w:sz w:val="20"/>
          <w:szCs w:val="22"/>
        </w:rPr>
      </w:pPr>
      <w:r>
        <w:rPr>
          <w:rFonts w:ascii="Book Antiqua" w:hAnsi="Book Antiqua"/>
          <w:noProof/>
          <w:sz w:val="20"/>
          <w:szCs w:val="22"/>
        </w:rPr>
        <w:t xml:space="preserve">Olii, M. R., </w:t>
      </w:r>
      <w:r w:rsidR="00F35AAD" w:rsidRPr="00FC2215">
        <w:rPr>
          <w:rFonts w:ascii="Book Antiqua" w:hAnsi="Book Antiqua"/>
          <w:noProof/>
          <w:sz w:val="20"/>
          <w:szCs w:val="22"/>
        </w:rPr>
        <w:t xml:space="preserve">Olii, </w:t>
      </w:r>
      <w:r>
        <w:rPr>
          <w:rFonts w:ascii="Book Antiqua" w:hAnsi="Book Antiqua"/>
          <w:noProof/>
          <w:sz w:val="20"/>
          <w:szCs w:val="22"/>
        </w:rPr>
        <w:t xml:space="preserve">A., &amp; </w:t>
      </w:r>
      <w:r w:rsidR="00F35AAD" w:rsidRPr="00FC2215">
        <w:rPr>
          <w:rFonts w:ascii="Book Antiqua" w:hAnsi="Book Antiqua"/>
          <w:noProof/>
          <w:sz w:val="20"/>
          <w:szCs w:val="22"/>
        </w:rPr>
        <w:t>Pakaya</w:t>
      </w:r>
      <w:r>
        <w:rPr>
          <w:rFonts w:ascii="Book Antiqua" w:hAnsi="Book Antiqua"/>
          <w:noProof/>
          <w:sz w:val="20"/>
          <w:szCs w:val="22"/>
        </w:rPr>
        <w:t>, R</w:t>
      </w:r>
      <w:r w:rsidR="00F35AAD" w:rsidRPr="00FC2215">
        <w:rPr>
          <w:rFonts w:ascii="Book Antiqua" w:hAnsi="Book Antiqua"/>
          <w:noProof/>
          <w:sz w:val="20"/>
          <w:szCs w:val="22"/>
        </w:rPr>
        <w:t xml:space="preserve">. (2021). Analysis of Spatial Distribution of the Drought Hazard Index (DHI) by Integration AHP-GIS-Remote Sensing in Gorontalo Regency. </w:t>
      </w:r>
      <w:r w:rsidR="00F35AAD" w:rsidRPr="00FC2215">
        <w:rPr>
          <w:rFonts w:ascii="Book Antiqua" w:hAnsi="Book Antiqua"/>
          <w:i/>
          <w:iCs/>
          <w:noProof/>
          <w:sz w:val="20"/>
          <w:szCs w:val="22"/>
        </w:rPr>
        <w:t>Journal of the Civil Engineering Forum</w:t>
      </w:r>
      <w:r w:rsidR="00F35AAD" w:rsidRPr="00FC2215">
        <w:rPr>
          <w:rFonts w:ascii="Book Antiqua" w:hAnsi="Book Antiqua"/>
          <w:noProof/>
          <w:sz w:val="20"/>
          <w:szCs w:val="22"/>
        </w:rPr>
        <w:t xml:space="preserve">, </w:t>
      </w:r>
      <w:r w:rsidR="00F35AAD" w:rsidRPr="00FC2215">
        <w:rPr>
          <w:rFonts w:ascii="Book Antiqua" w:hAnsi="Book Antiqua"/>
          <w:i/>
          <w:iCs/>
          <w:noProof/>
          <w:sz w:val="20"/>
          <w:szCs w:val="22"/>
        </w:rPr>
        <w:t>8</w:t>
      </w:r>
      <w:r w:rsidR="00F35AAD" w:rsidRPr="00FC2215">
        <w:rPr>
          <w:rFonts w:ascii="Book Antiqua" w:hAnsi="Book Antiqua"/>
          <w:noProof/>
          <w:sz w:val="20"/>
          <w:szCs w:val="22"/>
        </w:rPr>
        <w:t>(January), 81–96. https://doi.org/10.22146/jcef.3595</w:t>
      </w:r>
    </w:p>
    <w:p w14:paraId="1D403F68" w14:textId="528921C3" w:rsidR="00F35AAD" w:rsidRPr="00FC2215" w:rsidRDefault="00252BFA" w:rsidP="00FC2215">
      <w:pPr>
        <w:widowControl w:val="0"/>
        <w:autoSpaceDE w:val="0"/>
        <w:autoSpaceDN w:val="0"/>
        <w:adjustRightInd w:val="0"/>
        <w:ind w:left="480" w:hanging="480"/>
        <w:jc w:val="both"/>
        <w:rPr>
          <w:rFonts w:ascii="Book Antiqua" w:hAnsi="Book Antiqua"/>
          <w:noProof/>
          <w:sz w:val="20"/>
          <w:szCs w:val="22"/>
        </w:rPr>
      </w:pPr>
      <w:r w:rsidRPr="00252BFA">
        <w:rPr>
          <w:rFonts w:ascii="Book Antiqua" w:hAnsi="Book Antiqua"/>
          <w:noProof/>
          <w:sz w:val="20"/>
          <w:szCs w:val="22"/>
        </w:rPr>
        <w:t>Otto, F. E., Zachariah, M., Saeed, F., Siddiqi, A., Kamil, S., Mushtaq, H., ... &amp; Clarke, B.</w:t>
      </w:r>
      <w:r>
        <w:rPr>
          <w:rFonts w:ascii="Book Antiqua" w:hAnsi="Book Antiqua"/>
          <w:noProof/>
          <w:sz w:val="20"/>
          <w:szCs w:val="22"/>
        </w:rPr>
        <w:t xml:space="preserve"> </w:t>
      </w:r>
      <w:r w:rsidR="00F35AAD" w:rsidRPr="00FC2215">
        <w:rPr>
          <w:rFonts w:ascii="Book Antiqua" w:hAnsi="Book Antiqua"/>
          <w:noProof/>
          <w:sz w:val="20"/>
          <w:szCs w:val="22"/>
        </w:rPr>
        <w:t xml:space="preserve">(2023). Climate change increased extreme monsoon rainfall, flooding highly vulnerable communities in </w:t>
      </w:r>
      <w:r w:rsidR="00F35AAD" w:rsidRPr="00FC2215">
        <w:rPr>
          <w:rFonts w:ascii="Book Antiqua" w:hAnsi="Book Antiqua"/>
          <w:noProof/>
          <w:sz w:val="20"/>
          <w:szCs w:val="22"/>
        </w:rPr>
        <w:t xml:space="preserve">Pakistan. </w:t>
      </w:r>
      <w:r w:rsidR="00F35AAD" w:rsidRPr="00FC2215">
        <w:rPr>
          <w:rFonts w:ascii="Book Antiqua" w:hAnsi="Book Antiqua"/>
          <w:i/>
          <w:iCs/>
          <w:noProof/>
          <w:sz w:val="20"/>
          <w:szCs w:val="22"/>
        </w:rPr>
        <w:t>Environmental Research: Climate</w:t>
      </w:r>
      <w:r w:rsidR="00F35AAD" w:rsidRPr="00FC2215">
        <w:rPr>
          <w:rFonts w:ascii="Book Antiqua" w:hAnsi="Book Antiqua"/>
          <w:noProof/>
          <w:sz w:val="20"/>
          <w:szCs w:val="22"/>
        </w:rPr>
        <w:t xml:space="preserve">, </w:t>
      </w:r>
      <w:r w:rsidR="00F35AAD" w:rsidRPr="00FC2215">
        <w:rPr>
          <w:rFonts w:ascii="Book Antiqua" w:hAnsi="Book Antiqua"/>
          <w:i/>
          <w:iCs/>
          <w:noProof/>
          <w:sz w:val="20"/>
          <w:szCs w:val="22"/>
        </w:rPr>
        <w:t>2</w:t>
      </w:r>
      <w:r w:rsidR="00F35AAD" w:rsidRPr="00FC2215">
        <w:rPr>
          <w:rFonts w:ascii="Book Antiqua" w:hAnsi="Book Antiqua"/>
          <w:noProof/>
          <w:sz w:val="20"/>
          <w:szCs w:val="22"/>
        </w:rPr>
        <w:t>(2). https://doi.org/10.1088/2752-5295/acbfd5</w:t>
      </w:r>
    </w:p>
    <w:p w14:paraId="2D3F8B49" w14:textId="56BD7720" w:rsidR="003655D3" w:rsidRPr="00FC2215" w:rsidRDefault="003655D3" w:rsidP="003655D3">
      <w:pPr>
        <w:widowControl w:val="0"/>
        <w:autoSpaceDE w:val="0"/>
        <w:autoSpaceDN w:val="0"/>
        <w:adjustRightInd w:val="0"/>
        <w:ind w:left="480" w:hanging="480"/>
        <w:jc w:val="both"/>
        <w:rPr>
          <w:rFonts w:ascii="Book Antiqua" w:hAnsi="Book Antiqua"/>
          <w:noProof/>
          <w:sz w:val="20"/>
          <w:szCs w:val="22"/>
        </w:rPr>
      </w:pPr>
      <w:r w:rsidRPr="003655D3">
        <w:rPr>
          <w:rFonts w:ascii="Book Antiqua" w:hAnsi="Book Antiqua"/>
          <w:noProof/>
          <w:sz w:val="20"/>
          <w:szCs w:val="22"/>
        </w:rPr>
        <w:t>Pratama, G. S., &amp; Sardiana, I. K.</w:t>
      </w:r>
      <w:r>
        <w:rPr>
          <w:rFonts w:ascii="Book Antiqua" w:hAnsi="Book Antiqua"/>
          <w:noProof/>
          <w:sz w:val="20"/>
          <w:szCs w:val="22"/>
        </w:rPr>
        <w:t xml:space="preserve"> </w:t>
      </w:r>
      <w:r w:rsidRPr="00FC2215">
        <w:rPr>
          <w:rFonts w:ascii="Book Antiqua" w:hAnsi="Book Antiqua"/>
          <w:noProof/>
          <w:sz w:val="20"/>
          <w:szCs w:val="22"/>
        </w:rPr>
        <w:t xml:space="preserve">(2023). Pemetaan Klasifikasi Iklim Schmidt-Ferguson dan Kesesuaian Agroklimat Tanaman Cabai Merah (Capsicum annuum) di Provinsi Bali. </w:t>
      </w:r>
      <w:r w:rsidRPr="00FC2215">
        <w:rPr>
          <w:rFonts w:ascii="Book Antiqua" w:hAnsi="Book Antiqua"/>
          <w:i/>
          <w:iCs/>
          <w:noProof/>
          <w:sz w:val="20"/>
          <w:szCs w:val="22"/>
        </w:rPr>
        <w:t>Agrotrop</w:t>
      </w:r>
      <w:r w:rsidRPr="00FC2215">
        <w:rPr>
          <w:i/>
          <w:iCs/>
          <w:noProof/>
          <w:sz w:val="20"/>
          <w:szCs w:val="22"/>
        </w:rPr>
        <w:t> </w:t>
      </w:r>
      <w:r w:rsidRPr="00FC2215">
        <w:rPr>
          <w:rFonts w:ascii="Book Antiqua" w:hAnsi="Book Antiqua"/>
          <w:i/>
          <w:iCs/>
          <w:noProof/>
          <w:sz w:val="20"/>
          <w:szCs w:val="22"/>
        </w:rPr>
        <w:t>: Journal on Agriculture Science</w:t>
      </w:r>
      <w:r w:rsidRPr="00FC2215">
        <w:rPr>
          <w:rFonts w:ascii="Book Antiqua" w:hAnsi="Book Antiqua"/>
          <w:noProof/>
          <w:sz w:val="20"/>
          <w:szCs w:val="22"/>
        </w:rPr>
        <w:t xml:space="preserve">, </w:t>
      </w:r>
      <w:r w:rsidRPr="00FC2215">
        <w:rPr>
          <w:rFonts w:ascii="Book Antiqua" w:hAnsi="Book Antiqua"/>
          <w:i/>
          <w:iCs/>
          <w:noProof/>
          <w:sz w:val="20"/>
          <w:szCs w:val="22"/>
        </w:rPr>
        <w:t>13</w:t>
      </w:r>
      <w:r w:rsidRPr="00FC2215">
        <w:rPr>
          <w:rFonts w:ascii="Book Antiqua" w:hAnsi="Book Antiqua"/>
          <w:noProof/>
          <w:sz w:val="20"/>
          <w:szCs w:val="22"/>
        </w:rPr>
        <w:t>(2), 170. https://doi.org/10.24843/ajoas.2023.v13.i02.p02</w:t>
      </w:r>
    </w:p>
    <w:p w14:paraId="44CD450F"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Putranto, W. W., Nuarsa, I. W., Kartini, N. L., Andi Yuda, I. W., &amp; Wiratmaja, I. M. D. (2022). Pemetaan Zona Agroklimat Schmidt Ferguson Menggunakan Data Stasiun Pengamat Hujan Dan Produk Data Satelit Imerg Di Provinsi Bali. </w:t>
      </w:r>
      <w:r w:rsidRPr="00FC2215">
        <w:rPr>
          <w:rFonts w:ascii="Book Antiqua" w:hAnsi="Book Antiqua"/>
          <w:i/>
          <w:iCs/>
          <w:noProof/>
          <w:sz w:val="20"/>
          <w:szCs w:val="22"/>
        </w:rPr>
        <w:t>ECOTROPHIC</w:t>
      </w:r>
      <w:r w:rsidRPr="00FC2215">
        <w:rPr>
          <w:i/>
          <w:iCs/>
          <w:noProof/>
          <w:sz w:val="20"/>
          <w:szCs w:val="22"/>
        </w:rPr>
        <w:t> </w:t>
      </w:r>
      <w:r w:rsidRPr="00FC2215">
        <w:rPr>
          <w:rFonts w:ascii="Book Antiqua" w:hAnsi="Book Antiqua"/>
          <w:i/>
          <w:iCs/>
          <w:noProof/>
          <w:sz w:val="20"/>
          <w:szCs w:val="22"/>
        </w:rPr>
        <w:t>: Jurnal Ilmu Lingkungan (Journal of Environmental Science)</w:t>
      </w:r>
      <w:r w:rsidRPr="00FC2215">
        <w:rPr>
          <w:rFonts w:ascii="Book Antiqua" w:hAnsi="Book Antiqua"/>
          <w:noProof/>
          <w:sz w:val="20"/>
          <w:szCs w:val="22"/>
        </w:rPr>
        <w:t xml:space="preserve">, </w:t>
      </w:r>
      <w:r w:rsidRPr="00FC2215">
        <w:rPr>
          <w:rFonts w:ascii="Book Antiqua" w:hAnsi="Book Antiqua"/>
          <w:i/>
          <w:iCs/>
          <w:noProof/>
          <w:sz w:val="20"/>
          <w:szCs w:val="22"/>
        </w:rPr>
        <w:t>16</w:t>
      </w:r>
      <w:r w:rsidRPr="00FC2215">
        <w:rPr>
          <w:rFonts w:ascii="Book Antiqua" w:hAnsi="Book Antiqua"/>
          <w:noProof/>
          <w:sz w:val="20"/>
          <w:szCs w:val="22"/>
        </w:rPr>
        <w:t>(2), 244. https://doi.org/10.24843/ejes.2022.v16.i02.p11</w:t>
      </w:r>
    </w:p>
    <w:p w14:paraId="11DF26D8" w14:textId="3F0A925B" w:rsidR="00F35AAD" w:rsidRPr="00FC2215" w:rsidRDefault="00252BFA" w:rsidP="00252BFA">
      <w:pPr>
        <w:widowControl w:val="0"/>
        <w:autoSpaceDE w:val="0"/>
        <w:autoSpaceDN w:val="0"/>
        <w:adjustRightInd w:val="0"/>
        <w:ind w:left="480" w:hanging="480"/>
        <w:jc w:val="both"/>
        <w:rPr>
          <w:rFonts w:ascii="Book Antiqua" w:hAnsi="Book Antiqua"/>
          <w:noProof/>
          <w:sz w:val="20"/>
          <w:szCs w:val="22"/>
        </w:rPr>
      </w:pPr>
      <w:r w:rsidRPr="00252BFA">
        <w:rPr>
          <w:rFonts w:ascii="Book Antiqua" w:hAnsi="Book Antiqua"/>
          <w:noProof/>
          <w:sz w:val="20"/>
          <w:szCs w:val="22"/>
        </w:rPr>
        <w:t xml:space="preserve">Rahmanto, E., Rahmabudhi, S., &amp; Kustia, T. (2022). Kajian analisis spasial penentuan tipe iklim menurut klasifikasi Schmidt–Ferguson menggunakan metode Thiessen–Polygon di Provinsi Riau. </w:t>
      </w:r>
      <w:r w:rsidRPr="00252BFA">
        <w:rPr>
          <w:rFonts w:ascii="Book Antiqua" w:hAnsi="Book Antiqua"/>
          <w:i/>
          <w:noProof/>
          <w:sz w:val="20"/>
          <w:szCs w:val="22"/>
        </w:rPr>
        <w:t>Buletin GAW Bariri, 3</w:t>
      </w:r>
      <w:r w:rsidRPr="00252BFA">
        <w:rPr>
          <w:rFonts w:ascii="Book Antiqua" w:hAnsi="Book Antiqua"/>
          <w:noProof/>
          <w:sz w:val="20"/>
          <w:szCs w:val="22"/>
        </w:rPr>
        <w:t>(1), 35-42.</w:t>
      </w:r>
      <w:r>
        <w:rPr>
          <w:rFonts w:ascii="Book Antiqua" w:hAnsi="Book Antiqua"/>
          <w:noProof/>
          <w:sz w:val="20"/>
          <w:szCs w:val="22"/>
        </w:rPr>
        <w:t xml:space="preserve"> </w:t>
      </w:r>
      <w:r w:rsidR="00F35AAD" w:rsidRPr="00FC2215">
        <w:rPr>
          <w:rFonts w:ascii="Book Antiqua" w:hAnsi="Book Antiqua"/>
          <w:noProof/>
          <w:sz w:val="20"/>
          <w:szCs w:val="22"/>
        </w:rPr>
        <w:t>https://doi.org/10.31172/bgb.v3i1.66</w:t>
      </w:r>
    </w:p>
    <w:p w14:paraId="38E1F081"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Ren, Z., Zhao, H., Shi, K., &amp; Yang, G. (2023). Spatial and Temporal Variations of the Precipitation Structure in Jiangsu Province from 1960 to 2020 and Its Potential Climate-Driving Factors. </w:t>
      </w:r>
      <w:r w:rsidRPr="00FC2215">
        <w:rPr>
          <w:rFonts w:ascii="Book Antiqua" w:hAnsi="Book Antiqua"/>
          <w:i/>
          <w:iCs/>
          <w:noProof/>
          <w:sz w:val="20"/>
          <w:szCs w:val="22"/>
        </w:rPr>
        <w:t>Water (Switzerland)</w:t>
      </w:r>
      <w:r w:rsidRPr="00FC2215">
        <w:rPr>
          <w:rFonts w:ascii="Book Antiqua" w:hAnsi="Book Antiqua"/>
          <w:noProof/>
          <w:sz w:val="20"/>
          <w:szCs w:val="22"/>
        </w:rPr>
        <w:t xml:space="preserve">, </w:t>
      </w:r>
      <w:r w:rsidRPr="00FC2215">
        <w:rPr>
          <w:rFonts w:ascii="Book Antiqua" w:hAnsi="Book Antiqua"/>
          <w:i/>
          <w:iCs/>
          <w:noProof/>
          <w:sz w:val="20"/>
          <w:szCs w:val="22"/>
        </w:rPr>
        <w:t>15</w:t>
      </w:r>
      <w:r w:rsidRPr="00FC2215">
        <w:rPr>
          <w:rFonts w:ascii="Book Antiqua" w:hAnsi="Book Antiqua"/>
          <w:noProof/>
          <w:sz w:val="20"/>
          <w:szCs w:val="22"/>
        </w:rPr>
        <w:t>(23). https://doi.org/10.3390/w15234032</w:t>
      </w:r>
    </w:p>
    <w:p w14:paraId="4ED45C01" w14:textId="2BBF3371" w:rsidR="00F35AAD" w:rsidRPr="00FC2215" w:rsidRDefault="00252BFA" w:rsidP="00252BFA">
      <w:pPr>
        <w:widowControl w:val="0"/>
        <w:autoSpaceDE w:val="0"/>
        <w:autoSpaceDN w:val="0"/>
        <w:adjustRightInd w:val="0"/>
        <w:ind w:left="480" w:hanging="480"/>
        <w:jc w:val="both"/>
        <w:rPr>
          <w:rFonts w:ascii="Book Antiqua" w:hAnsi="Book Antiqua"/>
          <w:noProof/>
          <w:sz w:val="20"/>
          <w:szCs w:val="22"/>
        </w:rPr>
      </w:pPr>
      <w:r w:rsidRPr="00252BFA">
        <w:rPr>
          <w:rFonts w:ascii="Book Antiqua" w:hAnsi="Book Antiqua"/>
          <w:noProof/>
          <w:sz w:val="20"/>
          <w:szCs w:val="22"/>
        </w:rPr>
        <w:t xml:space="preserve">Karimah, R. Z., Azzahmi, Z. Z., Prasetya, A. D., Apsari, A. N. D., Fatah, F., &amp; Azziz, K. N. (2024). Pemodelan spasial prediksi curah hujan melalui metode inverse distance weighting di wilayah Sumatera Barat tahun 2026. </w:t>
      </w:r>
      <w:r w:rsidRPr="00252BFA">
        <w:rPr>
          <w:rFonts w:ascii="Book Antiqua" w:hAnsi="Book Antiqua"/>
          <w:i/>
          <w:noProof/>
          <w:sz w:val="20"/>
          <w:szCs w:val="22"/>
        </w:rPr>
        <w:t>Geomedia Majalah Ilmiah dan Informasi Kegeografian, 22</w:t>
      </w:r>
      <w:r w:rsidRPr="00252BFA">
        <w:rPr>
          <w:rFonts w:ascii="Book Antiqua" w:hAnsi="Book Antiqua"/>
          <w:noProof/>
          <w:sz w:val="20"/>
          <w:szCs w:val="22"/>
        </w:rPr>
        <w:t>(1).</w:t>
      </w:r>
      <w:r>
        <w:rPr>
          <w:rFonts w:ascii="Book Antiqua" w:hAnsi="Book Antiqua"/>
          <w:noProof/>
          <w:sz w:val="20"/>
          <w:szCs w:val="22"/>
        </w:rPr>
        <w:t xml:space="preserve"> </w:t>
      </w:r>
      <w:r w:rsidR="00F35AAD" w:rsidRPr="00FC2215">
        <w:rPr>
          <w:rFonts w:ascii="Book Antiqua" w:hAnsi="Book Antiqua"/>
          <w:noProof/>
          <w:sz w:val="20"/>
          <w:szCs w:val="22"/>
        </w:rPr>
        <w:t>https://doi.org/10.21831/gm.v22i1.68239</w:t>
      </w:r>
    </w:p>
    <w:p w14:paraId="43DA75B8"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Ruqoyah, R., Ruhiat, Y., &amp; Saefullah, A. (2023). Analisis Klasifikasi Tipe Iklim Dari Data Curah Hujan Menggunakan Metode Schmidt-Ferguson (Studi Kasus: Kabupaten Tangerang). </w:t>
      </w:r>
      <w:r w:rsidRPr="00FC2215">
        <w:rPr>
          <w:rFonts w:ascii="Book Antiqua" w:hAnsi="Book Antiqua"/>
          <w:i/>
          <w:iCs/>
          <w:noProof/>
          <w:sz w:val="20"/>
          <w:szCs w:val="22"/>
        </w:rPr>
        <w:t>Jurnal Teori Dan Aplikasi Fisika</w:t>
      </w:r>
      <w:r w:rsidRPr="00FC2215">
        <w:rPr>
          <w:rFonts w:ascii="Book Antiqua" w:hAnsi="Book Antiqua"/>
          <w:noProof/>
          <w:sz w:val="20"/>
          <w:szCs w:val="22"/>
        </w:rPr>
        <w:t xml:space="preserve">, </w:t>
      </w:r>
      <w:r w:rsidRPr="00FC2215">
        <w:rPr>
          <w:rFonts w:ascii="Book Antiqua" w:hAnsi="Book Antiqua"/>
          <w:i/>
          <w:iCs/>
          <w:noProof/>
          <w:sz w:val="20"/>
          <w:szCs w:val="22"/>
        </w:rPr>
        <w:t>11</w:t>
      </w:r>
      <w:r w:rsidRPr="00FC2215">
        <w:rPr>
          <w:rFonts w:ascii="Book Antiqua" w:hAnsi="Book Antiqua"/>
          <w:noProof/>
          <w:sz w:val="20"/>
          <w:szCs w:val="22"/>
        </w:rPr>
        <w:t>(01), 29–38. https://doi.org/10.23960/jtaf.v11i1.3076</w:t>
      </w:r>
    </w:p>
    <w:p w14:paraId="2EE2E824" w14:textId="370303C8" w:rsidR="00F35AAD" w:rsidRPr="00FC2215" w:rsidRDefault="00DD1C2F" w:rsidP="00FC2215">
      <w:pPr>
        <w:widowControl w:val="0"/>
        <w:autoSpaceDE w:val="0"/>
        <w:autoSpaceDN w:val="0"/>
        <w:adjustRightInd w:val="0"/>
        <w:ind w:left="480" w:hanging="480"/>
        <w:jc w:val="both"/>
        <w:rPr>
          <w:rFonts w:ascii="Book Antiqua" w:hAnsi="Book Antiqua"/>
          <w:noProof/>
          <w:sz w:val="20"/>
          <w:szCs w:val="22"/>
        </w:rPr>
      </w:pPr>
      <w:r w:rsidRPr="00DD1C2F">
        <w:rPr>
          <w:rFonts w:ascii="Book Antiqua" w:hAnsi="Book Antiqua"/>
          <w:noProof/>
          <w:sz w:val="20"/>
          <w:szCs w:val="22"/>
        </w:rPr>
        <w:t xml:space="preserve">Ruspa, R., Permana, S., &amp; Hantari, A. N. (2025). Analisis Konsistensi Data Curah Hujan Terhadap Debit Andalan: Studi Kasus: Bendung Leuwipeundeuy. </w:t>
      </w:r>
      <w:r w:rsidRPr="00DD1C2F">
        <w:rPr>
          <w:rFonts w:ascii="Book Antiqua" w:hAnsi="Book Antiqua"/>
          <w:i/>
          <w:noProof/>
          <w:sz w:val="20"/>
          <w:szCs w:val="22"/>
        </w:rPr>
        <w:t>Jurnal Konstruksi, 23</w:t>
      </w:r>
      <w:r w:rsidRPr="00DD1C2F">
        <w:rPr>
          <w:rFonts w:ascii="Book Antiqua" w:hAnsi="Book Antiqua"/>
          <w:noProof/>
          <w:sz w:val="20"/>
          <w:szCs w:val="22"/>
        </w:rPr>
        <w:t>(1), 273-282.</w:t>
      </w:r>
      <w:r>
        <w:rPr>
          <w:rFonts w:ascii="Book Antiqua" w:hAnsi="Book Antiqua"/>
          <w:noProof/>
          <w:sz w:val="20"/>
          <w:szCs w:val="22"/>
        </w:rPr>
        <w:t xml:space="preserve"> </w:t>
      </w:r>
      <w:r w:rsidR="00F35AAD" w:rsidRPr="00FC2215">
        <w:rPr>
          <w:rFonts w:ascii="Book Antiqua" w:hAnsi="Book Antiqua"/>
          <w:noProof/>
          <w:sz w:val="20"/>
          <w:szCs w:val="22"/>
        </w:rPr>
        <w:t>https://doi.org/10.33364/konstruksi/v.23-1.1881</w:t>
      </w:r>
    </w:p>
    <w:p w14:paraId="51F06DD1"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Searcy, J. K., &amp; Hardison, C. H. (1960). Double-Mass Curves. </w:t>
      </w:r>
      <w:r w:rsidRPr="00FC2215">
        <w:rPr>
          <w:rFonts w:ascii="Book Antiqua" w:hAnsi="Book Antiqua"/>
          <w:i/>
          <w:iCs/>
          <w:noProof/>
          <w:sz w:val="20"/>
          <w:szCs w:val="22"/>
        </w:rPr>
        <w:t>WaterSupply Paper 1541B</w:t>
      </w:r>
      <w:r w:rsidRPr="00FC2215">
        <w:rPr>
          <w:rFonts w:ascii="Book Antiqua" w:hAnsi="Book Antiqua"/>
          <w:noProof/>
          <w:sz w:val="20"/>
          <w:szCs w:val="22"/>
        </w:rPr>
        <w:t>, 66. https://doi.org/10.3133/wsp1541B</w:t>
      </w:r>
    </w:p>
    <w:p w14:paraId="0FB1C25F" w14:textId="31C38111" w:rsidR="00F35AAD" w:rsidRPr="00FC2215" w:rsidRDefault="00F35AAD" w:rsidP="00DD1C2F">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Sila, K., Mukti, T., Dwi, B., Nugroho, A., &amp; Maftukhah, R. (2022). </w:t>
      </w:r>
      <w:r w:rsidR="00DD1C2F" w:rsidRPr="00DD1C2F">
        <w:rPr>
          <w:rFonts w:ascii="Book Antiqua" w:hAnsi="Book Antiqua"/>
          <w:noProof/>
          <w:sz w:val="20"/>
          <w:szCs w:val="22"/>
        </w:rPr>
        <w:t xml:space="preserve">Classification of Climate and Land Suitability of Rice in East Sumba Regency, East Nusa Tenggara. In </w:t>
      </w:r>
      <w:r w:rsidR="00DD1C2F" w:rsidRPr="00DD1C2F">
        <w:rPr>
          <w:rFonts w:ascii="Book Antiqua" w:hAnsi="Book Antiqua"/>
          <w:i/>
          <w:noProof/>
          <w:sz w:val="20"/>
          <w:szCs w:val="22"/>
        </w:rPr>
        <w:t>2nd International Conference on Smart and Innovative Agriculture (ICoSIA 2021)</w:t>
      </w:r>
      <w:r w:rsidR="00DD1C2F" w:rsidRPr="00DD1C2F">
        <w:rPr>
          <w:rFonts w:ascii="Book Antiqua" w:hAnsi="Book Antiqua"/>
          <w:noProof/>
          <w:sz w:val="20"/>
          <w:szCs w:val="22"/>
        </w:rPr>
        <w:t xml:space="preserve"> (pp. 122-129). Atlantis Press.</w:t>
      </w:r>
      <w:r w:rsidR="00DD1C2F">
        <w:rPr>
          <w:rFonts w:ascii="Book Antiqua" w:hAnsi="Book Antiqua"/>
          <w:noProof/>
          <w:sz w:val="20"/>
          <w:szCs w:val="22"/>
        </w:rPr>
        <w:t xml:space="preserve"> </w:t>
      </w:r>
      <w:r w:rsidRPr="00FC2215">
        <w:rPr>
          <w:rFonts w:ascii="Book Antiqua" w:hAnsi="Book Antiqua"/>
          <w:noProof/>
          <w:sz w:val="20"/>
          <w:szCs w:val="22"/>
        </w:rPr>
        <w:lastRenderedPageBreak/>
        <w:t>https://doi.org/10.2991/absr.k.220305.018</w:t>
      </w:r>
    </w:p>
    <w:p w14:paraId="317A6904" w14:textId="4D4B411D" w:rsidR="00F35AAD" w:rsidRPr="00FC2215" w:rsidRDefault="00DD1C2F" w:rsidP="00DD1C2F">
      <w:pPr>
        <w:widowControl w:val="0"/>
        <w:autoSpaceDE w:val="0"/>
        <w:autoSpaceDN w:val="0"/>
        <w:adjustRightInd w:val="0"/>
        <w:ind w:left="480" w:hanging="480"/>
        <w:jc w:val="both"/>
        <w:rPr>
          <w:rFonts w:ascii="Book Antiqua" w:hAnsi="Book Antiqua"/>
          <w:noProof/>
          <w:sz w:val="20"/>
          <w:szCs w:val="22"/>
        </w:rPr>
      </w:pPr>
      <w:r w:rsidRPr="00DD1C2F">
        <w:rPr>
          <w:rFonts w:ascii="Book Antiqua" w:hAnsi="Book Antiqua"/>
          <w:noProof/>
          <w:sz w:val="20"/>
          <w:szCs w:val="22"/>
        </w:rPr>
        <w:t xml:space="preserve">Sriwongsitanon, N., Kaprom, C., Tantisuvanichkul, K., Prasertthonggorn, N., Suiadee, W., Bastiaanssen, W. G., &amp; Williams, J. A. (2023). The combined power of double mass curves and bias correction for the maximisation of the accuracy of an ensemble satellite-based precipitation estimate product. </w:t>
      </w:r>
      <w:r w:rsidRPr="00DD1C2F">
        <w:rPr>
          <w:rFonts w:ascii="Book Antiqua" w:hAnsi="Book Antiqua"/>
          <w:i/>
          <w:noProof/>
          <w:sz w:val="20"/>
          <w:szCs w:val="22"/>
        </w:rPr>
        <w:t>Hydrology, 10</w:t>
      </w:r>
      <w:r w:rsidRPr="00DD1C2F">
        <w:rPr>
          <w:rFonts w:ascii="Book Antiqua" w:hAnsi="Book Antiqua"/>
          <w:noProof/>
          <w:sz w:val="20"/>
          <w:szCs w:val="22"/>
        </w:rPr>
        <w:t>(7), 154.</w:t>
      </w:r>
      <w:r>
        <w:rPr>
          <w:rFonts w:ascii="Book Antiqua" w:hAnsi="Book Antiqua"/>
          <w:noProof/>
          <w:sz w:val="20"/>
          <w:szCs w:val="22"/>
        </w:rPr>
        <w:t xml:space="preserve"> </w:t>
      </w:r>
      <w:r w:rsidR="00F35AAD" w:rsidRPr="00FC2215">
        <w:rPr>
          <w:rFonts w:ascii="Book Antiqua" w:hAnsi="Book Antiqua"/>
          <w:noProof/>
          <w:sz w:val="20"/>
          <w:szCs w:val="22"/>
        </w:rPr>
        <w:t>https://doi.org/10.3390/hydrology10070154</w:t>
      </w:r>
    </w:p>
    <w:p w14:paraId="401B8243"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Subehi, L., Wibowo, H., &amp; Jung, K. (2016). </w:t>
      </w:r>
      <w:r w:rsidRPr="00FC2215">
        <w:rPr>
          <w:rFonts w:ascii="Book Antiqua" w:hAnsi="Book Antiqua"/>
          <w:i/>
          <w:iCs/>
          <w:noProof/>
          <w:sz w:val="20"/>
          <w:szCs w:val="22"/>
        </w:rPr>
        <w:t>Characteristics of Rainfall-Discharge and Water Quality at Limboto Lake , Gorontalo , Indonesia</w:t>
      </w:r>
      <w:r w:rsidRPr="00FC2215">
        <w:rPr>
          <w:rFonts w:ascii="Book Antiqua" w:hAnsi="Book Antiqua"/>
          <w:noProof/>
          <w:sz w:val="20"/>
          <w:szCs w:val="22"/>
        </w:rPr>
        <w:t xml:space="preserve">. </w:t>
      </w:r>
      <w:r w:rsidRPr="00FC2215">
        <w:rPr>
          <w:rFonts w:ascii="Book Antiqua" w:hAnsi="Book Antiqua"/>
          <w:i/>
          <w:iCs/>
          <w:noProof/>
          <w:sz w:val="20"/>
          <w:szCs w:val="22"/>
        </w:rPr>
        <w:t>48</w:t>
      </w:r>
      <w:r w:rsidRPr="00FC2215">
        <w:rPr>
          <w:rFonts w:ascii="Book Antiqua" w:hAnsi="Book Antiqua"/>
          <w:noProof/>
          <w:sz w:val="20"/>
          <w:szCs w:val="22"/>
        </w:rPr>
        <w:t>(3), 288–300. https://doi.org/10.5614/j.eng.technol.sci.2016.48.3.4</w:t>
      </w:r>
    </w:p>
    <w:p w14:paraId="7A612CF0"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Suhadi, S., Mabruroh, F., Wiyanto, A., &amp; Ikra, I. (2023). Analisis Fenomena Perubahan Iklim Terhadap Curah Hujan Ekstrim. </w:t>
      </w:r>
      <w:r w:rsidRPr="00FC2215">
        <w:rPr>
          <w:rFonts w:ascii="Book Antiqua" w:hAnsi="Book Antiqua"/>
          <w:i/>
          <w:iCs/>
          <w:noProof/>
          <w:sz w:val="20"/>
          <w:szCs w:val="22"/>
        </w:rPr>
        <w:t>OPTIKA: Jurnal Pendidikan Fisika</w:t>
      </w:r>
      <w:r w:rsidRPr="00FC2215">
        <w:rPr>
          <w:rFonts w:ascii="Book Antiqua" w:hAnsi="Book Antiqua"/>
          <w:noProof/>
          <w:sz w:val="20"/>
          <w:szCs w:val="22"/>
        </w:rPr>
        <w:t xml:space="preserve">, </w:t>
      </w:r>
      <w:r w:rsidRPr="00FC2215">
        <w:rPr>
          <w:rFonts w:ascii="Book Antiqua" w:hAnsi="Book Antiqua"/>
          <w:i/>
          <w:iCs/>
          <w:noProof/>
          <w:sz w:val="20"/>
          <w:szCs w:val="22"/>
        </w:rPr>
        <w:t>7</w:t>
      </w:r>
      <w:r w:rsidRPr="00FC2215">
        <w:rPr>
          <w:rFonts w:ascii="Book Antiqua" w:hAnsi="Book Antiqua"/>
          <w:noProof/>
          <w:sz w:val="20"/>
          <w:szCs w:val="22"/>
        </w:rPr>
        <w:t>(1), 94–100. https://doi.org/10.37478/optika.v7i1.2738</w:t>
      </w:r>
    </w:p>
    <w:p w14:paraId="7D05E2E7" w14:textId="6AC09813" w:rsidR="00F35AAD" w:rsidRPr="00FC2215" w:rsidRDefault="00DD1C2F" w:rsidP="00DD1C2F">
      <w:pPr>
        <w:widowControl w:val="0"/>
        <w:autoSpaceDE w:val="0"/>
        <w:autoSpaceDN w:val="0"/>
        <w:adjustRightInd w:val="0"/>
        <w:ind w:left="480" w:hanging="480"/>
        <w:jc w:val="both"/>
        <w:rPr>
          <w:rFonts w:ascii="Book Antiqua" w:hAnsi="Book Antiqua"/>
          <w:noProof/>
          <w:sz w:val="20"/>
          <w:szCs w:val="22"/>
        </w:rPr>
      </w:pPr>
      <w:r w:rsidRPr="00DD1C2F">
        <w:rPr>
          <w:rFonts w:ascii="Book Antiqua" w:hAnsi="Book Antiqua"/>
          <w:noProof/>
          <w:sz w:val="20"/>
          <w:szCs w:val="22"/>
        </w:rPr>
        <w:t xml:space="preserve">Susanto, S., Pratikto, H., Winarto, S., &amp; Siswanto, E. (2024). Pemetaan Curah Hujan dengan Metode Interpolasi Invers Distance Weighting (IDW) Kabupaten Kediri. </w:t>
      </w:r>
      <w:r w:rsidRPr="00DD1C2F">
        <w:rPr>
          <w:rFonts w:ascii="Book Antiqua" w:hAnsi="Book Antiqua"/>
          <w:i/>
          <w:noProof/>
          <w:sz w:val="20"/>
          <w:szCs w:val="22"/>
        </w:rPr>
        <w:t>Jurnal Engineering, 15</w:t>
      </w:r>
      <w:r w:rsidRPr="00DD1C2F">
        <w:rPr>
          <w:rFonts w:ascii="Book Antiqua" w:hAnsi="Book Antiqua"/>
          <w:noProof/>
          <w:sz w:val="20"/>
          <w:szCs w:val="22"/>
        </w:rPr>
        <w:t>(1), 44-55.</w:t>
      </w:r>
      <w:r>
        <w:rPr>
          <w:rFonts w:ascii="Book Antiqua" w:hAnsi="Book Antiqua"/>
          <w:noProof/>
          <w:sz w:val="20"/>
          <w:szCs w:val="22"/>
        </w:rPr>
        <w:t xml:space="preserve"> </w:t>
      </w:r>
      <w:r w:rsidR="00F35AAD" w:rsidRPr="00FC2215">
        <w:rPr>
          <w:rFonts w:ascii="Book Antiqua" w:hAnsi="Book Antiqua"/>
          <w:noProof/>
          <w:sz w:val="20"/>
          <w:szCs w:val="22"/>
        </w:rPr>
        <w:t>https://doi.org/10.24905/jureng.v15i1.7</w:t>
      </w:r>
    </w:p>
    <w:p w14:paraId="65DEB186"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Tiwari, H., Rai, S. P., Kumar, D., &amp; Sharma, N. (2016). Rainfall erosivity factor for India using modified fourier index. </w:t>
      </w:r>
      <w:r w:rsidRPr="00FC2215">
        <w:rPr>
          <w:rFonts w:ascii="Book Antiqua" w:hAnsi="Book Antiqua"/>
          <w:i/>
          <w:iCs/>
          <w:noProof/>
          <w:sz w:val="20"/>
          <w:szCs w:val="22"/>
        </w:rPr>
        <w:t>Journal of Applied Water Engineering and Research</w:t>
      </w:r>
      <w:r w:rsidRPr="00FC2215">
        <w:rPr>
          <w:rFonts w:ascii="Book Antiqua" w:hAnsi="Book Antiqua"/>
          <w:noProof/>
          <w:sz w:val="20"/>
          <w:szCs w:val="22"/>
        </w:rPr>
        <w:t xml:space="preserve">, </w:t>
      </w:r>
      <w:r w:rsidRPr="00FC2215">
        <w:rPr>
          <w:rFonts w:ascii="Book Antiqua" w:hAnsi="Book Antiqua"/>
          <w:i/>
          <w:iCs/>
          <w:noProof/>
          <w:sz w:val="20"/>
          <w:szCs w:val="22"/>
        </w:rPr>
        <w:t>4</w:t>
      </w:r>
      <w:r w:rsidRPr="00FC2215">
        <w:rPr>
          <w:rFonts w:ascii="Book Antiqua" w:hAnsi="Book Antiqua"/>
          <w:noProof/>
          <w:sz w:val="20"/>
          <w:szCs w:val="22"/>
        </w:rPr>
        <w:t>(2), 83–91. https://doi.org/10.1080/23249676.2015.1064038</w:t>
      </w:r>
    </w:p>
    <w:p w14:paraId="2B4D5A64" w14:textId="0368C9C8"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Vijith, H. (2020). Papers in Applied Geography Statistical Trend Characteristics of Rainfall in the Bara</w:t>
      </w:r>
      <w:r w:rsidR="00DD1C2F">
        <w:rPr>
          <w:rFonts w:ascii="Book Antiqua" w:hAnsi="Book Antiqua"/>
          <w:noProof/>
          <w:sz w:val="20"/>
          <w:szCs w:val="22"/>
        </w:rPr>
        <w:t>m River Basin (Malaysian Borneo</w:t>
      </w:r>
      <w:r w:rsidRPr="00FC2215">
        <w:rPr>
          <w:rFonts w:ascii="Book Antiqua" w:hAnsi="Book Antiqua"/>
          <w:noProof/>
          <w:sz w:val="20"/>
          <w:szCs w:val="22"/>
        </w:rPr>
        <w:t>) Statistical Trend Characteristics of Rain</w:t>
      </w:r>
      <w:r w:rsidR="009D408A">
        <w:rPr>
          <w:rFonts w:ascii="Book Antiqua" w:hAnsi="Book Antiqua"/>
          <w:noProof/>
          <w:sz w:val="20"/>
          <w:szCs w:val="22"/>
        </w:rPr>
        <w:t>fall in the Baram River Basin (Malaysian Borneo</w:t>
      </w:r>
      <w:r w:rsidRPr="00FC2215">
        <w:rPr>
          <w:rFonts w:ascii="Book Antiqua" w:hAnsi="Book Antiqua"/>
          <w:noProof/>
          <w:sz w:val="20"/>
          <w:szCs w:val="22"/>
        </w:rPr>
        <w:t xml:space="preserve">). </w:t>
      </w:r>
      <w:r w:rsidRPr="00FC2215">
        <w:rPr>
          <w:rFonts w:ascii="Book Antiqua" w:hAnsi="Book Antiqua"/>
          <w:i/>
          <w:iCs/>
          <w:noProof/>
          <w:sz w:val="20"/>
          <w:szCs w:val="22"/>
        </w:rPr>
        <w:t>Papers in Applied Geography</w:t>
      </w:r>
      <w:r w:rsidRPr="00FC2215">
        <w:rPr>
          <w:rFonts w:ascii="Book Antiqua" w:hAnsi="Book Antiqua"/>
          <w:noProof/>
          <w:sz w:val="20"/>
          <w:szCs w:val="22"/>
        </w:rPr>
        <w:t>, 1–30. https://doi.org/10.1080/23754931.2020.1847728</w:t>
      </w:r>
    </w:p>
    <w:p w14:paraId="519179B5" w14:textId="11C7B07D" w:rsidR="00F35AAD" w:rsidRPr="00FC2215" w:rsidRDefault="00DD1C2F" w:rsidP="00DD1C2F">
      <w:pPr>
        <w:widowControl w:val="0"/>
        <w:autoSpaceDE w:val="0"/>
        <w:autoSpaceDN w:val="0"/>
        <w:adjustRightInd w:val="0"/>
        <w:ind w:left="480" w:hanging="480"/>
        <w:jc w:val="both"/>
        <w:rPr>
          <w:rFonts w:ascii="Book Antiqua" w:hAnsi="Book Antiqua"/>
          <w:noProof/>
          <w:sz w:val="20"/>
          <w:szCs w:val="22"/>
        </w:rPr>
      </w:pPr>
      <w:r w:rsidRPr="00DD1C2F">
        <w:rPr>
          <w:rFonts w:ascii="Book Antiqua" w:hAnsi="Book Antiqua"/>
          <w:noProof/>
          <w:sz w:val="20"/>
          <w:szCs w:val="22"/>
        </w:rPr>
        <w:t xml:space="preserve">Wang, B., Biasutti, M., Byrne, M. P., Castro, C., Chang, C. P., Cook, K., ... &amp; Zhou, T. </w:t>
      </w:r>
      <w:r w:rsidR="00F35AAD" w:rsidRPr="00FC2215">
        <w:rPr>
          <w:rFonts w:ascii="Book Antiqua" w:hAnsi="Book Antiqua"/>
          <w:noProof/>
          <w:sz w:val="20"/>
          <w:szCs w:val="22"/>
        </w:rPr>
        <w:t xml:space="preserve">(2021). Monsoons climate change assessment. </w:t>
      </w:r>
      <w:r w:rsidR="00F35AAD" w:rsidRPr="00FC2215">
        <w:rPr>
          <w:rFonts w:ascii="Book Antiqua" w:hAnsi="Book Antiqua"/>
          <w:i/>
          <w:iCs/>
          <w:noProof/>
          <w:sz w:val="20"/>
          <w:szCs w:val="22"/>
        </w:rPr>
        <w:t>Bulletin of the American Meteorological Society</w:t>
      </w:r>
      <w:r w:rsidR="00F35AAD" w:rsidRPr="00FC2215">
        <w:rPr>
          <w:rFonts w:ascii="Book Antiqua" w:hAnsi="Book Antiqua"/>
          <w:noProof/>
          <w:sz w:val="20"/>
          <w:szCs w:val="22"/>
        </w:rPr>
        <w:t xml:space="preserve">, </w:t>
      </w:r>
      <w:r w:rsidR="00F35AAD" w:rsidRPr="00FC2215">
        <w:rPr>
          <w:rFonts w:ascii="Book Antiqua" w:hAnsi="Book Antiqua"/>
          <w:i/>
          <w:iCs/>
          <w:noProof/>
          <w:sz w:val="20"/>
          <w:szCs w:val="22"/>
        </w:rPr>
        <w:t>102</w:t>
      </w:r>
      <w:r w:rsidR="00F35AAD" w:rsidRPr="00FC2215">
        <w:rPr>
          <w:rFonts w:ascii="Book Antiqua" w:hAnsi="Book Antiqua"/>
          <w:noProof/>
          <w:sz w:val="20"/>
          <w:szCs w:val="22"/>
        </w:rPr>
        <w:t>(1), E1–E19. https://doi.org/10.1175/BAMS-D-19-0335.1</w:t>
      </w:r>
    </w:p>
    <w:p w14:paraId="54F6E440"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Yamamoto, K., Sayama, T., &amp; Apip. (2021). Impact of climate change on flood inundation in a tropical river basin in Indonesia. </w:t>
      </w:r>
      <w:r w:rsidRPr="00FC2215">
        <w:rPr>
          <w:rFonts w:ascii="Book Antiqua" w:hAnsi="Book Antiqua"/>
          <w:i/>
          <w:iCs/>
          <w:noProof/>
          <w:sz w:val="20"/>
          <w:szCs w:val="22"/>
        </w:rPr>
        <w:t>Progress in Earth and Planetary Science</w:t>
      </w:r>
      <w:r w:rsidRPr="00FC2215">
        <w:rPr>
          <w:rFonts w:ascii="Book Antiqua" w:hAnsi="Book Antiqua"/>
          <w:noProof/>
          <w:sz w:val="20"/>
          <w:szCs w:val="22"/>
        </w:rPr>
        <w:t xml:space="preserve">, </w:t>
      </w:r>
      <w:r w:rsidRPr="00FC2215">
        <w:rPr>
          <w:rFonts w:ascii="Book Antiqua" w:hAnsi="Book Antiqua"/>
          <w:i/>
          <w:iCs/>
          <w:noProof/>
          <w:sz w:val="20"/>
          <w:szCs w:val="22"/>
        </w:rPr>
        <w:t>8</w:t>
      </w:r>
      <w:r w:rsidRPr="00FC2215">
        <w:rPr>
          <w:rFonts w:ascii="Book Antiqua" w:hAnsi="Book Antiqua"/>
          <w:noProof/>
          <w:sz w:val="20"/>
          <w:szCs w:val="22"/>
        </w:rPr>
        <w:t>(1). https://doi.org/10.1186/s40645-020-00386-4</w:t>
      </w:r>
    </w:p>
    <w:p w14:paraId="1E9F60BD"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Yanos, M. H. (2022). Analysis of Rainfall Variability in the Province of Quirino. </w:t>
      </w:r>
      <w:r w:rsidRPr="00FC2215">
        <w:rPr>
          <w:rFonts w:ascii="Book Antiqua" w:hAnsi="Book Antiqua"/>
          <w:i/>
          <w:iCs/>
          <w:noProof/>
          <w:sz w:val="20"/>
          <w:szCs w:val="22"/>
        </w:rPr>
        <w:t>Journal of Environmental Science and Economics</w:t>
      </w:r>
      <w:r w:rsidRPr="00FC2215">
        <w:rPr>
          <w:rFonts w:ascii="Book Antiqua" w:hAnsi="Book Antiqua"/>
          <w:noProof/>
          <w:sz w:val="20"/>
          <w:szCs w:val="22"/>
        </w:rPr>
        <w:t xml:space="preserve">, </w:t>
      </w:r>
      <w:r w:rsidRPr="00FC2215">
        <w:rPr>
          <w:rFonts w:ascii="Book Antiqua" w:hAnsi="Book Antiqua"/>
          <w:i/>
          <w:iCs/>
          <w:noProof/>
          <w:sz w:val="20"/>
          <w:szCs w:val="22"/>
        </w:rPr>
        <w:t>1</w:t>
      </w:r>
      <w:r w:rsidRPr="00FC2215">
        <w:rPr>
          <w:rFonts w:ascii="Book Antiqua" w:hAnsi="Book Antiqua"/>
          <w:noProof/>
          <w:sz w:val="20"/>
          <w:szCs w:val="22"/>
        </w:rPr>
        <w:t>(2), 44–50. https://doi.org/10.56556/jescae.v1i2.20</w:t>
      </w:r>
    </w:p>
    <w:p w14:paraId="634F054E"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Yasa, I. W., Sulistiyono, H., Saadi, Y., &amp; Hartana. (2022). Spatial Climate Forecasting for Climatology Disaster Mitigation. </w:t>
      </w:r>
      <w:r w:rsidRPr="00FC2215">
        <w:rPr>
          <w:rFonts w:ascii="Book Antiqua" w:hAnsi="Book Antiqua"/>
          <w:i/>
          <w:iCs/>
          <w:noProof/>
          <w:sz w:val="20"/>
          <w:szCs w:val="22"/>
        </w:rPr>
        <w:t>Environment and Ecology Research</w:t>
      </w:r>
      <w:r w:rsidRPr="00FC2215">
        <w:rPr>
          <w:rFonts w:ascii="Book Antiqua" w:hAnsi="Book Antiqua"/>
          <w:noProof/>
          <w:sz w:val="20"/>
          <w:szCs w:val="22"/>
        </w:rPr>
        <w:t xml:space="preserve">, </w:t>
      </w:r>
      <w:r w:rsidRPr="00FC2215">
        <w:rPr>
          <w:rFonts w:ascii="Book Antiqua" w:hAnsi="Book Antiqua"/>
          <w:i/>
          <w:iCs/>
          <w:noProof/>
          <w:sz w:val="20"/>
          <w:szCs w:val="22"/>
        </w:rPr>
        <w:t>10</w:t>
      </w:r>
      <w:r w:rsidRPr="00FC2215">
        <w:rPr>
          <w:rFonts w:ascii="Book Antiqua" w:hAnsi="Book Antiqua"/>
          <w:noProof/>
          <w:sz w:val="20"/>
          <w:szCs w:val="22"/>
        </w:rPr>
        <w:t>(6), 786–796. https://doi.org/10.13189/eer.2022.100613</w:t>
      </w:r>
    </w:p>
    <w:p w14:paraId="698B6896" w14:textId="77902312" w:rsidR="00F35AAD" w:rsidRPr="00FC2215" w:rsidRDefault="0022213A" w:rsidP="0022213A">
      <w:pPr>
        <w:widowControl w:val="0"/>
        <w:autoSpaceDE w:val="0"/>
        <w:autoSpaceDN w:val="0"/>
        <w:adjustRightInd w:val="0"/>
        <w:ind w:left="480" w:hanging="480"/>
        <w:jc w:val="both"/>
        <w:rPr>
          <w:rFonts w:ascii="Book Antiqua" w:hAnsi="Book Antiqua"/>
          <w:noProof/>
          <w:sz w:val="20"/>
          <w:szCs w:val="22"/>
        </w:rPr>
      </w:pPr>
      <w:r w:rsidRPr="0022213A">
        <w:rPr>
          <w:rFonts w:ascii="Book Antiqua" w:hAnsi="Book Antiqua"/>
          <w:noProof/>
          <w:sz w:val="20"/>
          <w:szCs w:val="22"/>
        </w:rPr>
        <w:t xml:space="preserve">Yogafanny, E., &amp; Legono, D. (2022). A comparative study of missing rainfall data analysis using the methods of inversed square distance and arithmetic mean. </w:t>
      </w:r>
      <w:r w:rsidRPr="0022213A">
        <w:rPr>
          <w:rFonts w:ascii="Book Antiqua" w:hAnsi="Book Antiqua"/>
          <w:i/>
          <w:noProof/>
          <w:sz w:val="20"/>
          <w:szCs w:val="22"/>
        </w:rPr>
        <w:t>ASEAN Engineering Journal, 12</w:t>
      </w:r>
      <w:r w:rsidRPr="0022213A">
        <w:rPr>
          <w:rFonts w:ascii="Book Antiqua" w:hAnsi="Book Antiqua"/>
          <w:noProof/>
          <w:sz w:val="20"/>
          <w:szCs w:val="22"/>
        </w:rPr>
        <w:t>(2), 69-74.</w:t>
      </w:r>
      <w:r>
        <w:rPr>
          <w:rFonts w:ascii="Book Antiqua" w:hAnsi="Book Antiqua"/>
          <w:noProof/>
          <w:sz w:val="20"/>
          <w:szCs w:val="22"/>
        </w:rPr>
        <w:t xml:space="preserve"> </w:t>
      </w:r>
      <w:r w:rsidR="00F35AAD" w:rsidRPr="00FC2215">
        <w:rPr>
          <w:rFonts w:ascii="Book Antiqua" w:hAnsi="Book Antiqua"/>
          <w:noProof/>
          <w:sz w:val="20"/>
          <w:szCs w:val="22"/>
        </w:rPr>
        <w:t>https://doi.org/10.11113/aej.V12.16974</w:t>
      </w:r>
    </w:p>
    <w:p w14:paraId="243827DF" w14:textId="77777777" w:rsidR="00F35AAD" w:rsidRPr="00FC2215" w:rsidRDefault="00F35AAD" w:rsidP="00FC2215">
      <w:pPr>
        <w:widowControl w:val="0"/>
        <w:autoSpaceDE w:val="0"/>
        <w:autoSpaceDN w:val="0"/>
        <w:adjustRightInd w:val="0"/>
        <w:ind w:left="480" w:hanging="480"/>
        <w:jc w:val="both"/>
        <w:rPr>
          <w:rFonts w:ascii="Book Antiqua" w:hAnsi="Book Antiqua"/>
          <w:noProof/>
          <w:sz w:val="20"/>
          <w:szCs w:val="22"/>
        </w:rPr>
      </w:pPr>
      <w:r w:rsidRPr="00FC2215">
        <w:rPr>
          <w:rFonts w:ascii="Book Antiqua" w:hAnsi="Book Antiqua"/>
          <w:noProof/>
          <w:sz w:val="20"/>
          <w:szCs w:val="22"/>
        </w:rPr>
        <w:t xml:space="preserve">Yogafanny, E., &amp; Legono, D. J. (2022). a Comparative Study of Missing Rainfall Data Analysis Using the Methods of Inversed Square Distance and Arithmetic Mean. </w:t>
      </w:r>
      <w:r w:rsidRPr="00FC2215">
        <w:rPr>
          <w:rFonts w:ascii="Book Antiqua" w:hAnsi="Book Antiqua"/>
          <w:i/>
          <w:iCs/>
          <w:noProof/>
          <w:sz w:val="20"/>
          <w:szCs w:val="22"/>
        </w:rPr>
        <w:t>ASEAN Engineering Journal</w:t>
      </w:r>
      <w:r w:rsidRPr="00FC2215">
        <w:rPr>
          <w:rFonts w:ascii="Book Antiqua" w:hAnsi="Book Antiqua"/>
          <w:noProof/>
          <w:sz w:val="20"/>
          <w:szCs w:val="22"/>
        </w:rPr>
        <w:t xml:space="preserve">, </w:t>
      </w:r>
      <w:r w:rsidRPr="00FC2215">
        <w:rPr>
          <w:rFonts w:ascii="Book Antiqua" w:hAnsi="Book Antiqua"/>
          <w:i/>
          <w:iCs/>
          <w:noProof/>
          <w:sz w:val="20"/>
          <w:szCs w:val="22"/>
        </w:rPr>
        <w:t>12</w:t>
      </w:r>
      <w:r w:rsidRPr="00FC2215">
        <w:rPr>
          <w:rFonts w:ascii="Book Antiqua" w:hAnsi="Book Antiqua"/>
          <w:noProof/>
          <w:sz w:val="20"/>
          <w:szCs w:val="22"/>
        </w:rPr>
        <w:t>(2), 69–74. https://doi.org/10.11113/aej.V12.16974</w:t>
      </w:r>
    </w:p>
    <w:p w14:paraId="6B3FE267" w14:textId="335F707D" w:rsidR="0054564E" w:rsidRPr="0055175D" w:rsidRDefault="00F35AAD" w:rsidP="00FC2215">
      <w:pPr>
        <w:jc w:val="both"/>
        <w:rPr>
          <w:rFonts w:ascii="Book Antiqua" w:eastAsia="Book Antiqua" w:hAnsi="Book Antiqua" w:cs="Book Antiqua"/>
          <w:b/>
          <w:sz w:val="22"/>
          <w:szCs w:val="22"/>
        </w:rPr>
      </w:pPr>
      <w:r w:rsidRPr="00FC2215">
        <w:rPr>
          <w:rFonts w:ascii="Book Antiqua" w:eastAsia="Book Antiqua" w:hAnsi="Book Antiqua" w:cs="Book Antiqua"/>
          <w:b/>
          <w:sz w:val="20"/>
          <w:szCs w:val="20"/>
        </w:rPr>
        <w:fldChar w:fldCharType="end"/>
      </w:r>
    </w:p>
    <w:sectPr w:rsidR="0054564E" w:rsidRPr="0055175D" w:rsidSect="00044D7F">
      <w:type w:val="continuous"/>
      <w:pgSz w:w="11894" w:h="16157"/>
      <w:pgMar w:top="1134" w:right="851" w:bottom="1134" w:left="851" w:header="709" w:footer="1140" w:gutter="0"/>
      <w:cols w:num="2" w:space="720" w:equalWidth="0">
        <w:col w:w="4947" w:space="298"/>
        <w:col w:w="494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341DB" w14:textId="77777777" w:rsidR="00E24CD6" w:rsidRDefault="00E24CD6">
      <w:r>
        <w:separator/>
      </w:r>
    </w:p>
  </w:endnote>
  <w:endnote w:type="continuationSeparator" w:id="0">
    <w:p w14:paraId="0437E555" w14:textId="77777777" w:rsidR="00E24CD6" w:rsidRDefault="00E24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 w:fontKey="{3E61904E-C010-48F7-972C-B67AF4292855}"/>
    <w:embedBold r:id="rId2" w:fontKey="{48D0FFF4-53E2-4899-B0C6-2A765DD97FE7}"/>
  </w:font>
  <w:font w:name="Lucida Grande">
    <w:altName w:val="Segoe UI"/>
    <w:panose1 w:val="00000000000000000000"/>
    <w:charset w:val="00"/>
    <w:family w:val="roman"/>
    <w:notTrueType/>
    <w:pitch w:val="default"/>
  </w:font>
  <w:font w:name="ヒラギノ角ゴ Pro W3">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3" w:fontKey="{497FAA4A-7C1C-4E28-82F0-BCDAD44EA1A8}"/>
    <w:embedBold r:id="rId4" w:fontKey="{604A4FDD-DE8C-47FE-97E4-7F4F4F13BFB7}"/>
    <w:embedItalic r:id="rId5" w:fontKey="{A4B05351-D665-4E4B-9F39-BF5AEFDD258C}"/>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embedRegular r:id="rId6" w:fontKey="{CC40B870-84CC-4F6A-BA67-499FD583E6DA}"/>
  </w:font>
  <w:font w:name="Palatino Linotype">
    <w:panose1 w:val="02040502050505030304"/>
    <w:charset w:val="00"/>
    <w:family w:val="roman"/>
    <w:pitch w:val="variable"/>
    <w:sig w:usb0="E0000287" w:usb1="40000013" w:usb2="00000000" w:usb3="00000000" w:csb0="0000019F" w:csb1="00000000"/>
    <w:embedRegular r:id="rId7" w:fontKey="{D09E3E7B-6D2B-4D19-AF8D-CC45CD48E676}"/>
    <w:embedBold r:id="rId8" w:fontKey="{9FC26368-6872-4C2F-B870-276BB03BD33D}"/>
  </w:font>
  <w:font w:name="Georgia">
    <w:panose1 w:val="02040502050405020303"/>
    <w:charset w:val="00"/>
    <w:family w:val="roman"/>
    <w:pitch w:val="variable"/>
    <w:sig w:usb0="00000287" w:usb1="00000000" w:usb2="00000000" w:usb3="00000000" w:csb0="0000009F" w:csb1="00000000"/>
    <w:embedRegular r:id="rId9" w:fontKey="{442A437B-23E0-475F-BA9F-D74FB1B62E23}"/>
    <w:embedItalic r:id="rId10" w:fontKey="{48F81EDD-0FC9-4D09-AFAE-49D6D308850B}"/>
  </w:font>
  <w:font w:name="Book Antiqua">
    <w:panose1 w:val="02040602050305030304"/>
    <w:charset w:val="00"/>
    <w:family w:val="roman"/>
    <w:pitch w:val="variable"/>
    <w:sig w:usb0="00000287" w:usb1="00000000" w:usb2="00000000" w:usb3="00000000" w:csb0="0000009F" w:csb1="00000000"/>
    <w:embedRegular r:id="rId11" w:fontKey="{06151982-BE4B-41EF-9244-F716C5202C54}"/>
    <w:embedBold r:id="rId12" w:fontKey="{20979E4F-5FBD-4CD9-8B4E-3CC1B866DFD6}"/>
    <w:embedItalic r:id="rId13" w:fontKey="{1996A24B-71F5-47BF-B466-4F92379AE5F6}"/>
  </w:font>
  <w:font w:name="Avenir Black">
    <w:altName w:val="Trebuchet MS"/>
    <w:charset w:val="4D"/>
    <w:family w:val="swiss"/>
    <w:pitch w:val="variable"/>
    <w:sig w:usb0="800000AF" w:usb1="5000204A" w:usb2="00000000" w:usb3="00000000" w:csb0="0000009B" w:csb1="00000000"/>
  </w:font>
  <w:font w:name="Avenir">
    <w:altName w:val="Calibri"/>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embedRegular r:id="rId14" w:fontKey="{1D742EED-6D2B-40E1-847F-1D4C7072DE39}"/>
    <w:embedItalic r:id="rId15" w:fontKey="{E520C196-D96B-4E71-AAFA-A2171FAC04D4}"/>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87D67" w14:textId="77777777" w:rsidR="006650B1" w:rsidRDefault="006650B1">
    <w:pPr>
      <w:pBdr>
        <w:top w:val="nil"/>
        <w:left w:val="nil"/>
        <w:bottom w:val="nil"/>
        <w:right w:val="nil"/>
        <w:between w:val="nil"/>
      </w:pBdr>
      <w:tabs>
        <w:tab w:val="center" w:pos="4320"/>
        <w:tab w:val="right" w:pos="8640"/>
      </w:tabs>
      <w:jc w:val="right"/>
      <w:rPr>
        <w:color w:val="000000"/>
        <w:sz w:val="16"/>
        <w:szCs w:val="16"/>
      </w:rPr>
    </w:pPr>
    <w:r>
      <w:rPr>
        <w:color w:val="000000"/>
        <w:sz w:val="16"/>
        <w:szCs w:val="16"/>
      </w:rPr>
      <w:fldChar w:fldCharType="begin"/>
    </w:r>
    <w:r>
      <w:rPr>
        <w:color w:val="000000"/>
        <w:sz w:val="16"/>
        <w:szCs w:val="16"/>
      </w:rPr>
      <w:instrText>PAGE</w:instrText>
    </w:r>
    <w:r>
      <w:rPr>
        <w:color w:val="000000"/>
        <w:sz w:val="16"/>
        <w:szCs w:val="16"/>
      </w:rPr>
      <w:fldChar w:fldCharType="separate"/>
    </w:r>
    <w:r w:rsidR="009D408A">
      <w:rPr>
        <w:noProof/>
        <w:color w:val="000000"/>
        <w:sz w:val="16"/>
        <w:szCs w:val="16"/>
      </w:rPr>
      <w:t>9</w:t>
    </w:r>
    <w:r>
      <w:rPr>
        <w:color w:val="00000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9DCA4" w14:textId="77777777" w:rsidR="006650B1" w:rsidRPr="00CA32AE" w:rsidRDefault="006650B1">
    <w:pPr>
      <w:pBdr>
        <w:top w:val="nil"/>
        <w:left w:val="nil"/>
        <w:bottom w:val="nil"/>
        <w:right w:val="nil"/>
        <w:between w:val="nil"/>
      </w:pBdr>
      <w:tabs>
        <w:tab w:val="center" w:pos="4320"/>
        <w:tab w:val="right" w:pos="8640"/>
      </w:tabs>
      <w:rPr>
        <w:rFonts w:ascii="Book Antiqua" w:eastAsia="Book Antiqua" w:hAnsi="Book Antiqua" w:cs="Book Antiqua"/>
        <w:color w:val="000000"/>
        <w:sz w:val="16"/>
        <w:szCs w:val="16"/>
      </w:rPr>
    </w:pPr>
    <w:r w:rsidRPr="00CA32AE">
      <w:rPr>
        <w:rFonts w:ascii="Book Antiqua" w:eastAsia="Book Antiqua" w:hAnsi="Book Antiqua" w:cs="Book Antiqua"/>
        <w:color w:val="000000"/>
        <w:sz w:val="16"/>
        <w:szCs w:val="16"/>
      </w:rPr>
      <w:t>___________</w:t>
    </w:r>
  </w:p>
  <w:p w14:paraId="7C223B4B" w14:textId="77777777" w:rsidR="006650B1" w:rsidRPr="00CA32AE" w:rsidRDefault="006650B1">
    <w:pPr>
      <w:pBdr>
        <w:top w:val="nil"/>
        <w:left w:val="nil"/>
        <w:bottom w:val="nil"/>
        <w:right w:val="nil"/>
        <w:between w:val="nil"/>
      </w:pBdr>
      <w:tabs>
        <w:tab w:val="center" w:pos="4320"/>
        <w:tab w:val="right" w:pos="8640"/>
      </w:tabs>
      <w:rPr>
        <w:rFonts w:ascii="Book Antiqua" w:eastAsia="Book Antiqua" w:hAnsi="Book Antiqua" w:cs="Book Antiqua"/>
        <w:b/>
        <w:color w:val="000000"/>
        <w:sz w:val="16"/>
        <w:szCs w:val="16"/>
      </w:rPr>
    </w:pPr>
    <w:r w:rsidRPr="00CA32AE">
      <w:rPr>
        <w:rFonts w:ascii="Book Antiqua" w:eastAsia="Book Antiqua" w:hAnsi="Book Antiqua" w:cs="Book Antiqua"/>
        <w:b/>
        <w:color w:val="000000"/>
        <w:sz w:val="16"/>
        <w:szCs w:val="16"/>
      </w:rPr>
      <w:t>How to Cite:</w:t>
    </w:r>
  </w:p>
  <w:p w14:paraId="4C1378D7" w14:textId="35D4ADB5" w:rsidR="006650B1" w:rsidRPr="00CA32AE" w:rsidRDefault="00CA32AE" w:rsidP="00CA32AE">
    <w:pPr>
      <w:spacing w:line="276" w:lineRule="auto"/>
      <w:jc w:val="both"/>
      <w:rPr>
        <w:rFonts w:ascii="Book Antiqua" w:eastAsia="Book Antiqua" w:hAnsi="Book Antiqua" w:cs="Book Antiqua"/>
        <w:sz w:val="16"/>
        <w:szCs w:val="16"/>
      </w:rPr>
    </w:pPr>
    <w:r w:rsidRPr="00CA32AE">
      <w:rPr>
        <w:rFonts w:ascii="Book Antiqua" w:eastAsia="Book Antiqua" w:hAnsi="Book Antiqua" w:cs="Book Antiqua"/>
        <w:sz w:val="16"/>
        <w:szCs w:val="16"/>
      </w:rPr>
      <w:t xml:space="preserve">Pratama, G. S., Rijal S, A. S., </w:t>
    </w:r>
    <w:proofErr w:type="spellStart"/>
    <w:r w:rsidRPr="00CA32AE">
      <w:rPr>
        <w:rFonts w:ascii="Book Antiqua" w:eastAsia="Book Antiqua" w:hAnsi="Book Antiqua" w:cs="Book Antiqua"/>
        <w:sz w:val="16"/>
        <w:szCs w:val="16"/>
      </w:rPr>
      <w:t>Dangkua</w:t>
    </w:r>
    <w:proofErr w:type="spellEnd"/>
    <w:r w:rsidRPr="00CA32AE">
      <w:rPr>
        <w:rFonts w:ascii="Book Antiqua" w:eastAsia="Book Antiqua" w:hAnsi="Book Antiqua" w:cs="Book Antiqua"/>
        <w:sz w:val="16"/>
        <w:szCs w:val="16"/>
      </w:rPr>
      <w:t xml:space="preserve">, T., &amp; </w:t>
    </w:r>
    <w:proofErr w:type="spellStart"/>
    <w:r w:rsidRPr="00CA32AE">
      <w:rPr>
        <w:rFonts w:ascii="Book Antiqua" w:eastAsia="Book Antiqua" w:hAnsi="Book Antiqua" w:cs="Book Antiqua"/>
        <w:sz w:val="16"/>
        <w:szCs w:val="16"/>
      </w:rPr>
      <w:t>Suparwata</w:t>
    </w:r>
    <w:proofErr w:type="spellEnd"/>
    <w:r w:rsidRPr="00CA32AE">
      <w:rPr>
        <w:rFonts w:ascii="Book Antiqua" w:eastAsia="Book Antiqua" w:hAnsi="Book Antiqua" w:cs="Book Antiqua"/>
        <w:sz w:val="16"/>
        <w:szCs w:val="16"/>
      </w:rPr>
      <w:t>, D. O. (2026). Spatial Pattern Analysis of Schmidt–Ferguson Climate Classification in Gorontalo Province Based on Rainfall Data. </w:t>
    </w:r>
    <w:proofErr w:type="spellStart"/>
    <w:r w:rsidRPr="00CA32AE">
      <w:rPr>
        <w:rFonts w:ascii="Book Antiqua" w:eastAsia="Book Antiqua" w:hAnsi="Book Antiqua" w:cs="Book Antiqua"/>
        <w:i/>
        <w:iCs/>
        <w:sz w:val="16"/>
        <w:szCs w:val="16"/>
      </w:rPr>
      <w:t>Jurnal</w:t>
    </w:r>
    <w:proofErr w:type="spellEnd"/>
    <w:r w:rsidRPr="00CA32AE">
      <w:rPr>
        <w:rFonts w:ascii="Book Antiqua" w:eastAsia="Book Antiqua" w:hAnsi="Book Antiqua" w:cs="Book Antiqua"/>
        <w:i/>
        <w:iCs/>
        <w:sz w:val="16"/>
        <w:szCs w:val="16"/>
      </w:rPr>
      <w:t xml:space="preserve"> </w:t>
    </w:r>
    <w:proofErr w:type="spellStart"/>
    <w:r w:rsidRPr="00CA32AE">
      <w:rPr>
        <w:rFonts w:ascii="Book Antiqua" w:eastAsia="Book Antiqua" w:hAnsi="Book Antiqua" w:cs="Book Antiqua"/>
        <w:i/>
        <w:iCs/>
        <w:sz w:val="16"/>
        <w:szCs w:val="16"/>
      </w:rPr>
      <w:t>Penelitian</w:t>
    </w:r>
    <w:proofErr w:type="spellEnd"/>
    <w:r w:rsidRPr="00CA32AE">
      <w:rPr>
        <w:rFonts w:ascii="Book Antiqua" w:eastAsia="Book Antiqua" w:hAnsi="Book Antiqua" w:cs="Book Antiqua"/>
        <w:i/>
        <w:iCs/>
        <w:sz w:val="16"/>
        <w:szCs w:val="16"/>
      </w:rPr>
      <w:t xml:space="preserve"> Pendidikan IPA</w:t>
    </w:r>
    <w:r w:rsidRPr="00CA32AE">
      <w:rPr>
        <w:rFonts w:ascii="Book Antiqua" w:eastAsia="Book Antiqua" w:hAnsi="Book Antiqua" w:cs="Book Antiqua"/>
        <w:sz w:val="16"/>
        <w:szCs w:val="16"/>
      </w:rPr>
      <w:t>, </w:t>
    </w:r>
    <w:r w:rsidRPr="00CA32AE">
      <w:rPr>
        <w:rFonts w:ascii="Book Antiqua" w:eastAsia="Book Antiqua" w:hAnsi="Book Antiqua" w:cs="Book Antiqua"/>
        <w:i/>
        <w:iCs/>
        <w:sz w:val="16"/>
        <w:szCs w:val="16"/>
      </w:rPr>
      <w:t>12</w:t>
    </w:r>
    <w:r w:rsidRPr="00CA32AE">
      <w:rPr>
        <w:rFonts w:ascii="Book Antiqua" w:eastAsia="Book Antiqua" w:hAnsi="Book Antiqua" w:cs="Book Antiqua"/>
        <w:sz w:val="16"/>
        <w:szCs w:val="16"/>
      </w:rPr>
      <w:t xml:space="preserve">(4), 371–380. </w:t>
    </w:r>
    <w:hyperlink r:id="rId1" w:history="1">
      <w:r w:rsidRPr="00CA32AE">
        <w:rPr>
          <w:rStyle w:val="Hyperlink"/>
          <w:rFonts w:ascii="Book Antiqua" w:eastAsia="Book Antiqua" w:hAnsi="Book Antiqua" w:cs="Book Antiqua"/>
          <w:sz w:val="16"/>
          <w:szCs w:val="16"/>
          <w:u w:val="none"/>
        </w:rPr>
        <w:t>https://doi.org/10.29303/jppipa.v12i4.14568</w:t>
      </w:r>
    </w:hyperlink>
    <w:r w:rsidRPr="00CA32AE">
      <w:rPr>
        <w:rFonts w:ascii="Book Antiqua" w:eastAsia="Book Antiqua" w:hAnsi="Book Antiqua" w:cs="Book Antiqua"/>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31E64" w14:textId="77777777" w:rsidR="00E24CD6" w:rsidRDefault="00E24CD6">
      <w:r>
        <w:separator/>
      </w:r>
    </w:p>
  </w:footnote>
  <w:footnote w:type="continuationSeparator" w:id="0">
    <w:p w14:paraId="52CA005E" w14:textId="77777777" w:rsidR="00E24CD6" w:rsidRDefault="00E24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Layout w:type="fixed"/>
      <w:tblLook w:val="0400" w:firstRow="0" w:lastRow="0" w:firstColumn="0" w:lastColumn="0" w:noHBand="0" w:noVBand="1"/>
    </w:tblPr>
    <w:tblGrid>
      <w:gridCol w:w="4859"/>
      <w:gridCol w:w="5347"/>
    </w:tblGrid>
    <w:tr w:rsidR="006650B1" w14:paraId="2879DE79" w14:textId="77777777" w:rsidTr="006F4177">
      <w:tc>
        <w:tcPr>
          <w:tcW w:w="4859" w:type="dxa"/>
        </w:tcPr>
        <w:p w14:paraId="33F5999E" w14:textId="77777777" w:rsidR="006650B1" w:rsidRDefault="006650B1" w:rsidP="006F4177">
          <w:pPr>
            <w:pBdr>
              <w:top w:val="nil"/>
              <w:left w:val="nil"/>
              <w:bottom w:val="nil"/>
              <w:right w:val="nil"/>
              <w:between w:val="nil"/>
            </w:pBdr>
            <w:tabs>
              <w:tab w:val="center" w:pos="4320"/>
              <w:tab w:val="right" w:pos="8640"/>
            </w:tabs>
            <w:ind w:left="-108"/>
            <w:jc w:val="both"/>
            <w:rPr>
              <w:rFonts w:ascii="Book Antiqua" w:eastAsia="Book Antiqua" w:hAnsi="Book Antiqua" w:cs="Book Antiqua"/>
              <w:b/>
              <w:color w:val="002060"/>
              <w:sz w:val="16"/>
              <w:szCs w:val="16"/>
            </w:rPr>
          </w:pPr>
          <w:proofErr w:type="spellStart"/>
          <w:r>
            <w:rPr>
              <w:rFonts w:ascii="Book Antiqua" w:eastAsia="Book Antiqua" w:hAnsi="Book Antiqua" w:cs="Book Antiqua"/>
              <w:color w:val="002060"/>
              <w:sz w:val="16"/>
              <w:szCs w:val="16"/>
            </w:rPr>
            <w:t>Jurnal</w:t>
          </w:r>
          <w:proofErr w:type="spellEnd"/>
          <w:r>
            <w:rPr>
              <w:rFonts w:ascii="Book Antiqua" w:eastAsia="Book Antiqua" w:hAnsi="Book Antiqua" w:cs="Book Antiqua"/>
              <w:color w:val="002060"/>
              <w:sz w:val="16"/>
              <w:szCs w:val="16"/>
            </w:rPr>
            <w:t xml:space="preserve"> </w:t>
          </w:r>
          <w:proofErr w:type="spellStart"/>
          <w:r>
            <w:rPr>
              <w:rFonts w:ascii="Book Antiqua" w:eastAsia="Book Antiqua" w:hAnsi="Book Antiqua" w:cs="Book Antiqua"/>
              <w:color w:val="002060"/>
              <w:sz w:val="16"/>
              <w:szCs w:val="16"/>
            </w:rPr>
            <w:t>Penelitian</w:t>
          </w:r>
          <w:proofErr w:type="spellEnd"/>
          <w:r>
            <w:rPr>
              <w:rFonts w:ascii="Book Antiqua" w:eastAsia="Book Antiqua" w:hAnsi="Book Antiqua" w:cs="Book Antiqua"/>
              <w:color w:val="002060"/>
              <w:sz w:val="16"/>
              <w:szCs w:val="16"/>
            </w:rPr>
            <w:t xml:space="preserve"> Pendidikan IPA (JPPIPA)</w:t>
          </w:r>
        </w:p>
      </w:tc>
      <w:tc>
        <w:tcPr>
          <w:tcW w:w="5347" w:type="dxa"/>
          <w:vAlign w:val="center"/>
        </w:tcPr>
        <w:p w14:paraId="70131E2F" w14:textId="4CFE6A84" w:rsidR="006650B1" w:rsidRDefault="006650B1" w:rsidP="006F4177">
          <w:pPr>
            <w:pStyle w:val="Body"/>
            <w:pBdr>
              <w:top w:val="nil"/>
              <w:left w:val="nil"/>
              <w:bottom w:val="nil"/>
              <w:right w:val="nil"/>
              <w:between w:val="nil"/>
            </w:pBdr>
            <w:ind w:right="-91"/>
            <w:jc w:val="right"/>
            <w:rPr>
              <w:rFonts w:ascii="Book Antiqua" w:eastAsia="Book Antiqua" w:hAnsi="Book Antiqua" w:cs="Book Antiqua"/>
              <w:color w:val="002060"/>
              <w:sz w:val="16"/>
              <w:szCs w:val="16"/>
            </w:rPr>
          </w:pPr>
          <w:r>
            <w:rPr>
              <w:rFonts w:ascii="Book Antiqua" w:hAnsi="Book Antiqua"/>
              <w:color w:val="002060"/>
              <w:sz w:val="16"/>
              <w:szCs w:val="16"/>
            </w:rPr>
            <w:t>Volume 12, Issue 4</w:t>
          </w:r>
          <w:r w:rsidRPr="000E3AF1">
            <w:rPr>
              <w:rFonts w:ascii="Book Antiqua" w:hAnsi="Book Antiqua"/>
              <w:color w:val="002060"/>
              <w:sz w:val="16"/>
              <w:szCs w:val="16"/>
            </w:rPr>
            <w:t xml:space="preserve">, </w:t>
          </w:r>
          <w:r w:rsidR="00CA32AE">
            <w:rPr>
              <w:rFonts w:ascii="Book Antiqua" w:hAnsi="Book Antiqua"/>
              <w:color w:val="002060"/>
              <w:sz w:val="16"/>
              <w:szCs w:val="16"/>
            </w:rPr>
            <w:t>371</w:t>
          </w:r>
          <w:r>
            <w:rPr>
              <w:rFonts w:ascii="Book Antiqua" w:hAnsi="Book Antiqua"/>
              <w:color w:val="002060"/>
              <w:sz w:val="16"/>
              <w:szCs w:val="16"/>
            </w:rPr>
            <w:t>-</w:t>
          </w:r>
          <w:r w:rsidR="00CA32AE">
            <w:rPr>
              <w:rFonts w:ascii="Book Antiqua" w:hAnsi="Book Antiqua"/>
              <w:color w:val="002060"/>
              <w:sz w:val="16"/>
              <w:szCs w:val="16"/>
            </w:rPr>
            <w:t>380</w:t>
          </w:r>
          <w:r>
            <w:rPr>
              <w:rFonts w:ascii="Book Antiqua" w:eastAsia="Book Antiqua" w:hAnsi="Book Antiqua" w:cs="Book Antiqua"/>
              <w:color w:val="002060"/>
              <w:sz w:val="16"/>
              <w:szCs w:val="16"/>
            </w:rPr>
            <w:t xml:space="preserve"> </w:t>
          </w:r>
        </w:p>
      </w:tc>
    </w:tr>
  </w:tbl>
  <w:p w14:paraId="4536A509" w14:textId="77777777" w:rsidR="006650B1" w:rsidRDefault="006650B1">
    <w:pPr>
      <w:pBdr>
        <w:top w:val="nil"/>
        <w:left w:val="nil"/>
        <w:bottom w:val="nil"/>
        <w:right w:val="nil"/>
        <w:between w:val="nil"/>
      </w:pBdr>
      <w:tabs>
        <w:tab w:val="center" w:pos="4320"/>
        <w:tab w:val="right" w:pos="8640"/>
      </w:tabs>
      <w:jc w:val="both"/>
      <w:rPr>
        <w:color w:val="000000"/>
        <w:sz w:val="6"/>
        <w:szCs w:val="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Borders>
        <w:top w:val="single" w:sz="4" w:space="0" w:color="auto"/>
        <w:bottom w:val="single" w:sz="4" w:space="0" w:color="auto"/>
      </w:tblBorders>
      <w:tblLayout w:type="fixed"/>
      <w:tblLook w:val="04A0" w:firstRow="1" w:lastRow="0" w:firstColumn="1" w:lastColumn="0" w:noHBand="0" w:noVBand="1"/>
    </w:tblPr>
    <w:tblGrid>
      <w:gridCol w:w="1526"/>
      <w:gridCol w:w="7405"/>
      <w:gridCol w:w="1276"/>
    </w:tblGrid>
    <w:tr w:rsidR="00CA32AE" w:rsidRPr="00346118" w14:paraId="66E3D010" w14:textId="77777777" w:rsidTr="0024188F">
      <w:tc>
        <w:tcPr>
          <w:tcW w:w="1526" w:type="dxa"/>
          <w:vAlign w:val="center"/>
        </w:tcPr>
        <w:p w14:paraId="4DCAD781" w14:textId="77777777" w:rsidR="00CA32AE" w:rsidRPr="00346118" w:rsidRDefault="00CA32AE" w:rsidP="00CA32AE">
          <w:pPr>
            <w:pStyle w:val="Header"/>
            <w:tabs>
              <w:tab w:val="left" w:pos="7566"/>
              <w:tab w:val="right" w:pos="9020"/>
            </w:tabs>
            <w:rPr>
              <w:rFonts w:ascii="Avenir Black" w:hAnsi="Avenir Black"/>
            </w:rPr>
          </w:pPr>
          <w:r w:rsidRPr="00662EDA">
            <w:rPr>
              <w:rFonts w:ascii="Avenir Black" w:hAnsi="Avenir Black"/>
              <w:noProof/>
            </w:rPr>
            <w:drawing>
              <wp:inline distT="0" distB="0" distL="0" distR="0" wp14:anchorId="5D556161" wp14:editId="2F85BB94">
                <wp:extent cx="876300" cy="914400"/>
                <wp:effectExtent l="0" t="0" r="0" b="0"/>
                <wp:docPr id="11" name="Picture 11" descr="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300" cy="914400"/>
                        </a:xfrm>
                        <a:prstGeom prst="rect">
                          <a:avLst/>
                        </a:prstGeom>
                        <a:noFill/>
                        <a:ln>
                          <a:noFill/>
                        </a:ln>
                      </pic:spPr>
                    </pic:pic>
                  </a:graphicData>
                </a:graphic>
              </wp:inline>
            </w:drawing>
          </w:r>
        </w:p>
      </w:tc>
      <w:tc>
        <w:tcPr>
          <w:tcW w:w="7405" w:type="dxa"/>
          <w:shd w:val="clear" w:color="auto" w:fill="D9D9D9"/>
        </w:tcPr>
        <w:p w14:paraId="79BA4C06" w14:textId="77777777" w:rsidR="00CA32AE" w:rsidRPr="00346118" w:rsidRDefault="00CA32AE" w:rsidP="00CA32AE">
          <w:pPr>
            <w:jc w:val="center"/>
            <w:rPr>
              <w:rFonts w:ascii="Book Antiqua" w:hAnsi="Book Antiqua"/>
              <w:sz w:val="20"/>
              <w:szCs w:val="20"/>
            </w:rPr>
          </w:pPr>
          <w:r>
            <w:rPr>
              <w:rFonts w:ascii="Book Antiqua" w:hAnsi="Book Antiqua"/>
              <w:sz w:val="18"/>
              <w:szCs w:val="20"/>
            </w:rPr>
            <w:t>JPPIPA 12</w:t>
          </w:r>
          <w:r w:rsidRPr="00346118">
            <w:rPr>
              <w:rFonts w:ascii="Book Antiqua" w:hAnsi="Book Antiqua"/>
              <w:sz w:val="18"/>
              <w:szCs w:val="20"/>
            </w:rPr>
            <w:t>(</w:t>
          </w:r>
          <w:r>
            <w:rPr>
              <w:rFonts w:ascii="Book Antiqua" w:hAnsi="Book Antiqua"/>
              <w:sz w:val="18"/>
              <w:szCs w:val="20"/>
            </w:rPr>
            <w:t>4) (2026)</w:t>
          </w:r>
        </w:p>
        <w:p w14:paraId="7B036C0D" w14:textId="77777777" w:rsidR="00CA32AE" w:rsidRPr="001518C8" w:rsidRDefault="00CA32AE" w:rsidP="00CA32AE">
          <w:pPr>
            <w:jc w:val="center"/>
            <w:rPr>
              <w:rFonts w:ascii="Book Antiqua" w:hAnsi="Book Antiqua"/>
              <w:sz w:val="18"/>
            </w:rPr>
          </w:pPr>
        </w:p>
        <w:p w14:paraId="4D5521E3" w14:textId="77777777" w:rsidR="00CA32AE" w:rsidRDefault="00CA32AE" w:rsidP="00CA32AE">
          <w:pPr>
            <w:jc w:val="center"/>
            <w:rPr>
              <w:rFonts w:ascii="Book Antiqua" w:hAnsi="Book Antiqua"/>
              <w:sz w:val="28"/>
            </w:rPr>
          </w:pPr>
          <w:proofErr w:type="spellStart"/>
          <w:r>
            <w:rPr>
              <w:rFonts w:ascii="Book Antiqua" w:hAnsi="Book Antiqua"/>
              <w:sz w:val="28"/>
            </w:rPr>
            <w:t>Jurnal</w:t>
          </w:r>
          <w:proofErr w:type="spellEnd"/>
          <w:r>
            <w:rPr>
              <w:rFonts w:ascii="Book Antiqua" w:hAnsi="Book Antiqua"/>
              <w:sz w:val="28"/>
            </w:rPr>
            <w:t xml:space="preserve"> </w:t>
          </w:r>
          <w:proofErr w:type="spellStart"/>
          <w:r>
            <w:rPr>
              <w:rFonts w:ascii="Book Antiqua" w:hAnsi="Book Antiqua"/>
              <w:sz w:val="28"/>
            </w:rPr>
            <w:t>Penelitian</w:t>
          </w:r>
          <w:proofErr w:type="spellEnd"/>
          <w:r>
            <w:rPr>
              <w:rFonts w:ascii="Book Antiqua" w:hAnsi="Book Antiqua"/>
              <w:sz w:val="28"/>
            </w:rPr>
            <w:t xml:space="preserve"> Pendidikan IPA</w:t>
          </w:r>
        </w:p>
        <w:p w14:paraId="5601E259" w14:textId="77777777" w:rsidR="00CA32AE" w:rsidRPr="00E8619A" w:rsidRDefault="00CA32AE" w:rsidP="00CA32AE">
          <w:pPr>
            <w:jc w:val="center"/>
            <w:rPr>
              <w:rFonts w:ascii="Book Antiqua" w:hAnsi="Book Antiqua"/>
              <w:i/>
              <w:sz w:val="18"/>
              <w:szCs w:val="18"/>
            </w:rPr>
          </w:pPr>
          <w:r w:rsidRPr="00E8619A">
            <w:rPr>
              <w:rFonts w:ascii="Book Antiqua" w:hAnsi="Book Antiqua"/>
              <w:i/>
              <w:sz w:val="12"/>
            </w:rPr>
            <w:t xml:space="preserve">  </w:t>
          </w:r>
          <w:r w:rsidRPr="00E8619A">
            <w:rPr>
              <w:rFonts w:ascii="Book Antiqua" w:hAnsi="Book Antiqua"/>
              <w:i/>
              <w:sz w:val="18"/>
              <w:szCs w:val="18"/>
            </w:rPr>
            <w:t xml:space="preserve">    </w:t>
          </w:r>
        </w:p>
        <w:p w14:paraId="215544DA" w14:textId="77777777" w:rsidR="00CA32AE" w:rsidRPr="00E8619A" w:rsidRDefault="00CA32AE" w:rsidP="00CA32AE">
          <w:pPr>
            <w:jc w:val="center"/>
            <w:rPr>
              <w:rFonts w:ascii="Book Antiqua" w:hAnsi="Book Antiqua"/>
              <w:sz w:val="18"/>
              <w:szCs w:val="18"/>
            </w:rPr>
          </w:pPr>
        </w:p>
        <w:p w14:paraId="5F3F34D6" w14:textId="77777777" w:rsidR="00CA32AE" w:rsidRPr="00346118" w:rsidRDefault="00CA32AE" w:rsidP="00CA32AE">
          <w:pPr>
            <w:jc w:val="center"/>
            <w:rPr>
              <w:rFonts w:ascii="Book Antiqua" w:hAnsi="Book Antiqua"/>
            </w:rPr>
          </w:pPr>
          <w:r w:rsidRPr="00346118">
            <w:rPr>
              <w:rFonts w:ascii="Book Antiqua" w:hAnsi="Book Antiqua"/>
              <w:sz w:val="16"/>
            </w:rPr>
            <w:t>http://jppipa.unram.ac.id/index.php/</w:t>
          </w:r>
          <w:r>
            <w:rPr>
              <w:rFonts w:ascii="Book Antiqua" w:hAnsi="Book Antiqua"/>
              <w:sz w:val="16"/>
            </w:rPr>
            <w:t>jppipa</w:t>
          </w:r>
          <w:r w:rsidRPr="00346118">
            <w:rPr>
              <w:rFonts w:ascii="Book Antiqua" w:hAnsi="Book Antiqua"/>
              <w:sz w:val="16"/>
            </w:rPr>
            <w:t>/index</w:t>
          </w:r>
        </w:p>
      </w:tc>
      <w:tc>
        <w:tcPr>
          <w:tcW w:w="1276" w:type="dxa"/>
        </w:tcPr>
        <w:p w14:paraId="16DAE730" w14:textId="77777777" w:rsidR="00CA32AE" w:rsidRPr="00346118" w:rsidRDefault="00CA32AE" w:rsidP="00CA32AE">
          <w:pPr>
            <w:pStyle w:val="Header"/>
            <w:tabs>
              <w:tab w:val="left" w:pos="7566"/>
              <w:tab w:val="right" w:pos="9020"/>
            </w:tabs>
            <w:ind w:left="-75"/>
            <w:jc w:val="right"/>
            <w:rPr>
              <w:rFonts w:ascii="Avenir Black" w:hAnsi="Avenir Black"/>
            </w:rPr>
          </w:pPr>
          <w:r w:rsidRPr="00662EDA">
            <w:rPr>
              <w:rFonts w:ascii="Avenir Black" w:hAnsi="Avenir Black"/>
              <w:noProof/>
            </w:rPr>
            <w:drawing>
              <wp:inline distT="0" distB="0" distL="0" distR="0" wp14:anchorId="3879E17A" wp14:editId="36CBCE74">
                <wp:extent cx="781050" cy="981075"/>
                <wp:effectExtent l="0" t="0" r="0" b="9525"/>
                <wp:docPr id="12" name="Picture 12" descr="cov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ver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81050" cy="981075"/>
                        </a:xfrm>
                        <a:prstGeom prst="rect">
                          <a:avLst/>
                        </a:prstGeom>
                        <a:noFill/>
                        <a:ln>
                          <a:noFill/>
                        </a:ln>
                      </pic:spPr>
                    </pic:pic>
                  </a:graphicData>
                </a:graphic>
              </wp:inline>
            </w:drawing>
          </w:r>
        </w:p>
      </w:tc>
    </w:tr>
  </w:tbl>
  <w:p w14:paraId="4E55E68F" w14:textId="05DE1C85" w:rsidR="006650B1" w:rsidRPr="00CA32AE" w:rsidRDefault="00CA32AE" w:rsidP="00CA32AE">
    <w:pPr>
      <w:pBdr>
        <w:top w:val="nil"/>
        <w:left w:val="nil"/>
        <w:bottom w:val="nil"/>
        <w:right w:val="nil"/>
        <w:between w:val="nil"/>
      </w:pBdr>
      <w:tabs>
        <w:tab w:val="center" w:pos="4320"/>
        <w:tab w:val="right" w:pos="8640"/>
        <w:tab w:val="left" w:pos="7566"/>
        <w:tab w:val="right" w:pos="9020"/>
      </w:tabs>
      <w:rPr>
        <w:rFonts w:ascii="Avenir" w:eastAsia="Avenir" w:hAnsi="Avenir" w:cs="Avenir"/>
        <w:color w:val="000000"/>
        <w:sz w:val="16"/>
        <w:szCs w:val="16"/>
      </w:rPr>
    </w:pPr>
    <w:r>
      <w:rPr>
        <w:rFonts w:ascii="Avenir" w:eastAsia="Avenir" w:hAnsi="Avenir" w:cs="Avenir"/>
        <w:color w:val="000000"/>
        <w:sz w:val="16"/>
        <w:szCs w:val="16"/>
      </w:rPr>
      <w:tab/>
    </w:r>
    <w:r>
      <w:rPr>
        <w:rFonts w:ascii="Avenir" w:eastAsia="Avenir" w:hAnsi="Avenir" w:cs="Avenir"/>
        <w:color w:val="00000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B0190"/>
    <w:multiLevelType w:val="hybridMultilevel"/>
    <w:tmpl w:val="33B8A25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289D528C"/>
    <w:multiLevelType w:val="multilevel"/>
    <w:tmpl w:val="30BC091E"/>
    <w:lvl w:ilvl="0">
      <w:start w:val="1"/>
      <w:numFmt w:val="decimal"/>
      <w:lvlText w:val="%1."/>
      <w:lvlJc w:val="left"/>
      <w:pPr>
        <w:ind w:left="720" w:hanging="360"/>
      </w:pPr>
      <w:rPr>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58949228">
    <w:abstractNumId w:val="1"/>
  </w:num>
  <w:num w:numId="2" w16cid:durableId="1691373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31D"/>
    <w:rsid w:val="0000172F"/>
    <w:rsid w:val="0000540E"/>
    <w:rsid w:val="00007134"/>
    <w:rsid w:val="00014049"/>
    <w:rsid w:val="0001513A"/>
    <w:rsid w:val="00016300"/>
    <w:rsid w:val="0002207A"/>
    <w:rsid w:val="0002613C"/>
    <w:rsid w:val="000416BB"/>
    <w:rsid w:val="00044D7F"/>
    <w:rsid w:val="000502AD"/>
    <w:rsid w:val="00055D32"/>
    <w:rsid w:val="000665E4"/>
    <w:rsid w:val="00070DE6"/>
    <w:rsid w:val="00073674"/>
    <w:rsid w:val="00074894"/>
    <w:rsid w:val="0007684F"/>
    <w:rsid w:val="000771E9"/>
    <w:rsid w:val="000832E8"/>
    <w:rsid w:val="00087C86"/>
    <w:rsid w:val="000B1EE7"/>
    <w:rsid w:val="000B2C82"/>
    <w:rsid w:val="000C01B9"/>
    <w:rsid w:val="000C171D"/>
    <w:rsid w:val="000C3C79"/>
    <w:rsid w:val="000C50E4"/>
    <w:rsid w:val="000C5B76"/>
    <w:rsid w:val="000D2F5E"/>
    <w:rsid w:val="000D424D"/>
    <w:rsid w:val="000D4273"/>
    <w:rsid w:val="000D5D0A"/>
    <w:rsid w:val="000D5F4A"/>
    <w:rsid w:val="000D794D"/>
    <w:rsid w:val="000F30B7"/>
    <w:rsid w:val="000F325F"/>
    <w:rsid w:val="00114121"/>
    <w:rsid w:val="00115A48"/>
    <w:rsid w:val="0011624F"/>
    <w:rsid w:val="00117F5D"/>
    <w:rsid w:val="00143D0B"/>
    <w:rsid w:val="00147DF7"/>
    <w:rsid w:val="00150D13"/>
    <w:rsid w:val="001533E2"/>
    <w:rsid w:val="00155BAE"/>
    <w:rsid w:val="00163C9A"/>
    <w:rsid w:val="00164C1B"/>
    <w:rsid w:val="00190E29"/>
    <w:rsid w:val="0019217B"/>
    <w:rsid w:val="001A4252"/>
    <w:rsid w:val="001A675E"/>
    <w:rsid w:val="001D0654"/>
    <w:rsid w:val="001E650F"/>
    <w:rsid w:val="001F4C31"/>
    <w:rsid w:val="001F4F61"/>
    <w:rsid w:val="001F6B99"/>
    <w:rsid w:val="00200B43"/>
    <w:rsid w:val="00204771"/>
    <w:rsid w:val="00206253"/>
    <w:rsid w:val="002068A1"/>
    <w:rsid w:val="00211F9E"/>
    <w:rsid w:val="0022213A"/>
    <w:rsid w:val="00231856"/>
    <w:rsid w:val="00234CA2"/>
    <w:rsid w:val="002431D1"/>
    <w:rsid w:val="0024513D"/>
    <w:rsid w:val="00252BFA"/>
    <w:rsid w:val="002579FC"/>
    <w:rsid w:val="00264B11"/>
    <w:rsid w:val="00273771"/>
    <w:rsid w:val="00277A8B"/>
    <w:rsid w:val="002823EA"/>
    <w:rsid w:val="00283211"/>
    <w:rsid w:val="00296A49"/>
    <w:rsid w:val="002977CA"/>
    <w:rsid w:val="00297E7C"/>
    <w:rsid w:val="002A1277"/>
    <w:rsid w:val="002B0BC9"/>
    <w:rsid w:val="002B74B3"/>
    <w:rsid w:val="002C0E55"/>
    <w:rsid w:val="002C1763"/>
    <w:rsid w:val="002C5B73"/>
    <w:rsid w:val="002C797E"/>
    <w:rsid w:val="002E14B2"/>
    <w:rsid w:val="002E7B75"/>
    <w:rsid w:val="002E7CA5"/>
    <w:rsid w:val="002F05C5"/>
    <w:rsid w:val="003126F2"/>
    <w:rsid w:val="00313799"/>
    <w:rsid w:val="00314828"/>
    <w:rsid w:val="00317A5C"/>
    <w:rsid w:val="003220CF"/>
    <w:rsid w:val="0032471F"/>
    <w:rsid w:val="00326D65"/>
    <w:rsid w:val="00356F68"/>
    <w:rsid w:val="0036003D"/>
    <w:rsid w:val="0036056B"/>
    <w:rsid w:val="003615B9"/>
    <w:rsid w:val="003638C8"/>
    <w:rsid w:val="003655D3"/>
    <w:rsid w:val="00373E89"/>
    <w:rsid w:val="0037491E"/>
    <w:rsid w:val="003778F2"/>
    <w:rsid w:val="00383205"/>
    <w:rsid w:val="00391AFD"/>
    <w:rsid w:val="003B3C29"/>
    <w:rsid w:val="003B6B59"/>
    <w:rsid w:val="003C7C2F"/>
    <w:rsid w:val="003D29DA"/>
    <w:rsid w:val="003D2E69"/>
    <w:rsid w:val="003D5C77"/>
    <w:rsid w:val="003D72DD"/>
    <w:rsid w:val="003D7C78"/>
    <w:rsid w:val="003E258A"/>
    <w:rsid w:val="00403218"/>
    <w:rsid w:val="00411677"/>
    <w:rsid w:val="00411766"/>
    <w:rsid w:val="004131DE"/>
    <w:rsid w:val="00416853"/>
    <w:rsid w:val="004325F2"/>
    <w:rsid w:val="00432875"/>
    <w:rsid w:val="00456526"/>
    <w:rsid w:val="00471706"/>
    <w:rsid w:val="00472C3D"/>
    <w:rsid w:val="00476A7B"/>
    <w:rsid w:val="004839E2"/>
    <w:rsid w:val="00491507"/>
    <w:rsid w:val="00493074"/>
    <w:rsid w:val="004A595D"/>
    <w:rsid w:val="004C49E3"/>
    <w:rsid w:val="004C4BBE"/>
    <w:rsid w:val="004C5735"/>
    <w:rsid w:val="004D1D73"/>
    <w:rsid w:val="004D5EE8"/>
    <w:rsid w:val="004E5171"/>
    <w:rsid w:val="004F24DB"/>
    <w:rsid w:val="005005C2"/>
    <w:rsid w:val="005037CB"/>
    <w:rsid w:val="0051043B"/>
    <w:rsid w:val="00537F5F"/>
    <w:rsid w:val="00544871"/>
    <w:rsid w:val="00544C38"/>
    <w:rsid w:val="0054564E"/>
    <w:rsid w:val="00546DCD"/>
    <w:rsid w:val="00550125"/>
    <w:rsid w:val="0055175D"/>
    <w:rsid w:val="00574BF3"/>
    <w:rsid w:val="00580124"/>
    <w:rsid w:val="00585BC4"/>
    <w:rsid w:val="00590E1F"/>
    <w:rsid w:val="005B076D"/>
    <w:rsid w:val="005D00EB"/>
    <w:rsid w:val="00605288"/>
    <w:rsid w:val="00610AA0"/>
    <w:rsid w:val="00612EBF"/>
    <w:rsid w:val="00616BB6"/>
    <w:rsid w:val="006216DE"/>
    <w:rsid w:val="00621D0C"/>
    <w:rsid w:val="00622D53"/>
    <w:rsid w:val="006259FA"/>
    <w:rsid w:val="00637A1C"/>
    <w:rsid w:val="0064312C"/>
    <w:rsid w:val="00646E71"/>
    <w:rsid w:val="0066058A"/>
    <w:rsid w:val="006650B1"/>
    <w:rsid w:val="0067635A"/>
    <w:rsid w:val="006842A5"/>
    <w:rsid w:val="00684D68"/>
    <w:rsid w:val="006900CD"/>
    <w:rsid w:val="00691544"/>
    <w:rsid w:val="00692565"/>
    <w:rsid w:val="006A2F06"/>
    <w:rsid w:val="006A6031"/>
    <w:rsid w:val="006A705A"/>
    <w:rsid w:val="006B37DE"/>
    <w:rsid w:val="006B384D"/>
    <w:rsid w:val="006C0C1A"/>
    <w:rsid w:val="006C71F3"/>
    <w:rsid w:val="006D4B26"/>
    <w:rsid w:val="006D55B4"/>
    <w:rsid w:val="006D5B4C"/>
    <w:rsid w:val="006E4A6B"/>
    <w:rsid w:val="006E7C0A"/>
    <w:rsid w:val="006F0420"/>
    <w:rsid w:val="006F0F4D"/>
    <w:rsid w:val="006F4177"/>
    <w:rsid w:val="006F5C72"/>
    <w:rsid w:val="006F655B"/>
    <w:rsid w:val="00722CE7"/>
    <w:rsid w:val="0072619C"/>
    <w:rsid w:val="00726907"/>
    <w:rsid w:val="00731ACD"/>
    <w:rsid w:val="007356CF"/>
    <w:rsid w:val="007432C0"/>
    <w:rsid w:val="00744631"/>
    <w:rsid w:val="0074540A"/>
    <w:rsid w:val="00751278"/>
    <w:rsid w:val="0075221F"/>
    <w:rsid w:val="007640D8"/>
    <w:rsid w:val="00767849"/>
    <w:rsid w:val="00767A4A"/>
    <w:rsid w:val="0077631D"/>
    <w:rsid w:val="0077739F"/>
    <w:rsid w:val="0078081A"/>
    <w:rsid w:val="00780982"/>
    <w:rsid w:val="00782F44"/>
    <w:rsid w:val="00791470"/>
    <w:rsid w:val="00797090"/>
    <w:rsid w:val="007A6863"/>
    <w:rsid w:val="007A7B68"/>
    <w:rsid w:val="007B55D7"/>
    <w:rsid w:val="007B5DC8"/>
    <w:rsid w:val="007C58ED"/>
    <w:rsid w:val="007C7684"/>
    <w:rsid w:val="007D2DEB"/>
    <w:rsid w:val="007E2D7C"/>
    <w:rsid w:val="007E500A"/>
    <w:rsid w:val="007F27C2"/>
    <w:rsid w:val="007F5C67"/>
    <w:rsid w:val="007F64DF"/>
    <w:rsid w:val="008003AF"/>
    <w:rsid w:val="00801DE0"/>
    <w:rsid w:val="00802089"/>
    <w:rsid w:val="0080286A"/>
    <w:rsid w:val="008067A7"/>
    <w:rsid w:val="00814F07"/>
    <w:rsid w:val="0081786E"/>
    <w:rsid w:val="00831289"/>
    <w:rsid w:val="00832385"/>
    <w:rsid w:val="00843903"/>
    <w:rsid w:val="00852937"/>
    <w:rsid w:val="00862EE9"/>
    <w:rsid w:val="008708F9"/>
    <w:rsid w:val="0088144F"/>
    <w:rsid w:val="00883289"/>
    <w:rsid w:val="008A17E2"/>
    <w:rsid w:val="008D0757"/>
    <w:rsid w:val="008D63A9"/>
    <w:rsid w:val="008E04E5"/>
    <w:rsid w:val="008E24CB"/>
    <w:rsid w:val="00902832"/>
    <w:rsid w:val="00905914"/>
    <w:rsid w:val="0091182B"/>
    <w:rsid w:val="00913968"/>
    <w:rsid w:val="00946D3A"/>
    <w:rsid w:val="00950C1C"/>
    <w:rsid w:val="0095238B"/>
    <w:rsid w:val="0096377E"/>
    <w:rsid w:val="00964123"/>
    <w:rsid w:val="00972F25"/>
    <w:rsid w:val="00991F47"/>
    <w:rsid w:val="009A11C3"/>
    <w:rsid w:val="009A7F3F"/>
    <w:rsid w:val="009B059A"/>
    <w:rsid w:val="009C0E8C"/>
    <w:rsid w:val="009C65F5"/>
    <w:rsid w:val="009D15D7"/>
    <w:rsid w:val="009D408A"/>
    <w:rsid w:val="009F076E"/>
    <w:rsid w:val="00A00AE9"/>
    <w:rsid w:val="00A07605"/>
    <w:rsid w:val="00A15099"/>
    <w:rsid w:val="00A20EEE"/>
    <w:rsid w:val="00A24E3E"/>
    <w:rsid w:val="00A259C6"/>
    <w:rsid w:val="00A30F85"/>
    <w:rsid w:val="00A358E2"/>
    <w:rsid w:val="00A51EBC"/>
    <w:rsid w:val="00A57C77"/>
    <w:rsid w:val="00A719E3"/>
    <w:rsid w:val="00A73034"/>
    <w:rsid w:val="00A756C2"/>
    <w:rsid w:val="00A94042"/>
    <w:rsid w:val="00A9422A"/>
    <w:rsid w:val="00A973CD"/>
    <w:rsid w:val="00A97578"/>
    <w:rsid w:val="00A97CDF"/>
    <w:rsid w:val="00AA0ED6"/>
    <w:rsid w:val="00AA4A99"/>
    <w:rsid w:val="00AB03C1"/>
    <w:rsid w:val="00AB1E6E"/>
    <w:rsid w:val="00AB56BD"/>
    <w:rsid w:val="00AC7CC2"/>
    <w:rsid w:val="00AD0CDB"/>
    <w:rsid w:val="00AE58EA"/>
    <w:rsid w:val="00AF2515"/>
    <w:rsid w:val="00AF38FE"/>
    <w:rsid w:val="00AF41C2"/>
    <w:rsid w:val="00B01CC5"/>
    <w:rsid w:val="00B06CDA"/>
    <w:rsid w:val="00B12FE4"/>
    <w:rsid w:val="00B47C37"/>
    <w:rsid w:val="00B53AE5"/>
    <w:rsid w:val="00B567D3"/>
    <w:rsid w:val="00B63E6D"/>
    <w:rsid w:val="00B94BCA"/>
    <w:rsid w:val="00B970E5"/>
    <w:rsid w:val="00BA5CF1"/>
    <w:rsid w:val="00BB2A41"/>
    <w:rsid w:val="00BC59B2"/>
    <w:rsid w:val="00BE27EC"/>
    <w:rsid w:val="00BE41F5"/>
    <w:rsid w:val="00BE4B11"/>
    <w:rsid w:val="00BF0585"/>
    <w:rsid w:val="00BF17C5"/>
    <w:rsid w:val="00BF1A8A"/>
    <w:rsid w:val="00BF4E56"/>
    <w:rsid w:val="00BF772A"/>
    <w:rsid w:val="00C01D59"/>
    <w:rsid w:val="00C131D1"/>
    <w:rsid w:val="00C1355C"/>
    <w:rsid w:val="00C24451"/>
    <w:rsid w:val="00C33AEC"/>
    <w:rsid w:val="00C36A8F"/>
    <w:rsid w:val="00C37063"/>
    <w:rsid w:val="00C44186"/>
    <w:rsid w:val="00C53D3E"/>
    <w:rsid w:val="00C6165C"/>
    <w:rsid w:val="00C730B6"/>
    <w:rsid w:val="00C91436"/>
    <w:rsid w:val="00CA07D6"/>
    <w:rsid w:val="00CA32AE"/>
    <w:rsid w:val="00CA56E6"/>
    <w:rsid w:val="00CA78A6"/>
    <w:rsid w:val="00CB7491"/>
    <w:rsid w:val="00CB7C29"/>
    <w:rsid w:val="00CC68B9"/>
    <w:rsid w:val="00CC7CFB"/>
    <w:rsid w:val="00CD21E4"/>
    <w:rsid w:val="00CD52AC"/>
    <w:rsid w:val="00CF30F9"/>
    <w:rsid w:val="00CF6CEC"/>
    <w:rsid w:val="00CF6D3F"/>
    <w:rsid w:val="00D03C5C"/>
    <w:rsid w:val="00D0663D"/>
    <w:rsid w:val="00D16A01"/>
    <w:rsid w:val="00D17E95"/>
    <w:rsid w:val="00D21809"/>
    <w:rsid w:val="00D21DAB"/>
    <w:rsid w:val="00D243CB"/>
    <w:rsid w:val="00D2732B"/>
    <w:rsid w:val="00D27F46"/>
    <w:rsid w:val="00D322E1"/>
    <w:rsid w:val="00D338CC"/>
    <w:rsid w:val="00D43EE5"/>
    <w:rsid w:val="00D51CF0"/>
    <w:rsid w:val="00D547BC"/>
    <w:rsid w:val="00D60B01"/>
    <w:rsid w:val="00D63F5E"/>
    <w:rsid w:val="00D67082"/>
    <w:rsid w:val="00D67186"/>
    <w:rsid w:val="00D722E8"/>
    <w:rsid w:val="00D75059"/>
    <w:rsid w:val="00D800A7"/>
    <w:rsid w:val="00D82DFB"/>
    <w:rsid w:val="00D92EDE"/>
    <w:rsid w:val="00DA7A28"/>
    <w:rsid w:val="00DB3CE5"/>
    <w:rsid w:val="00DB5A09"/>
    <w:rsid w:val="00DC48F4"/>
    <w:rsid w:val="00DC500D"/>
    <w:rsid w:val="00DD1C2F"/>
    <w:rsid w:val="00DD3463"/>
    <w:rsid w:val="00DD4B55"/>
    <w:rsid w:val="00DE5887"/>
    <w:rsid w:val="00DE7A4C"/>
    <w:rsid w:val="00DF3615"/>
    <w:rsid w:val="00DF361D"/>
    <w:rsid w:val="00E010D4"/>
    <w:rsid w:val="00E02A96"/>
    <w:rsid w:val="00E03603"/>
    <w:rsid w:val="00E13DD6"/>
    <w:rsid w:val="00E1518A"/>
    <w:rsid w:val="00E20B23"/>
    <w:rsid w:val="00E2185B"/>
    <w:rsid w:val="00E24CD6"/>
    <w:rsid w:val="00E260EC"/>
    <w:rsid w:val="00E3229A"/>
    <w:rsid w:val="00E3288E"/>
    <w:rsid w:val="00E33855"/>
    <w:rsid w:val="00E3577A"/>
    <w:rsid w:val="00E379F7"/>
    <w:rsid w:val="00E40D24"/>
    <w:rsid w:val="00E50DE6"/>
    <w:rsid w:val="00E63FBA"/>
    <w:rsid w:val="00E77913"/>
    <w:rsid w:val="00E81BC7"/>
    <w:rsid w:val="00E83D84"/>
    <w:rsid w:val="00E85188"/>
    <w:rsid w:val="00E94575"/>
    <w:rsid w:val="00EA0495"/>
    <w:rsid w:val="00EB214B"/>
    <w:rsid w:val="00EC540F"/>
    <w:rsid w:val="00EE0217"/>
    <w:rsid w:val="00EF4465"/>
    <w:rsid w:val="00F00AE6"/>
    <w:rsid w:val="00F01ED7"/>
    <w:rsid w:val="00F0616E"/>
    <w:rsid w:val="00F11903"/>
    <w:rsid w:val="00F1476E"/>
    <w:rsid w:val="00F17100"/>
    <w:rsid w:val="00F265B7"/>
    <w:rsid w:val="00F26A18"/>
    <w:rsid w:val="00F34CE1"/>
    <w:rsid w:val="00F35AAD"/>
    <w:rsid w:val="00F533A6"/>
    <w:rsid w:val="00F53D45"/>
    <w:rsid w:val="00F553E3"/>
    <w:rsid w:val="00F73A52"/>
    <w:rsid w:val="00F77658"/>
    <w:rsid w:val="00FC0744"/>
    <w:rsid w:val="00FC2215"/>
    <w:rsid w:val="00FD744E"/>
    <w:rsid w:val="00FE1550"/>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8A697"/>
  <w15:docId w15:val="{27A65C66-2F8F-43CD-B78D-B7748F621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lang w:eastAsia="en-US"/>
    </w:rPr>
  </w:style>
  <w:style w:type="paragraph" w:styleId="Heading1">
    <w:name w:val="heading 1"/>
    <w:basedOn w:val="Normal"/>
    <w:next w:val="Normal"/>
    <w:link w:val="Heading1Char"/>
    <w:uiPriority w:val="9"/>
    <w:qFormat/>
    <w:rsid w:val="00510900"/>
    <w:pPr>
      <w:keepNext/>
      <w:spacing w:line="480" w:lineRule="auto"/>
      <w:jc w:val="center"/>
      <w:outlineLvl w:val="0"/>
    </w:pPr>
    <w:rPr>
      <w:b/>
      <w:bCs/>
      <w:sz w:val="20"/>
      <w:szCs w:val="20"/>
    </w:rPr>
  </w:style>
  <w:style w:type="paragraph" w:styleId="Heading2">
    <w:name w:val="heading 2"/>
    <w:basedOn w:val="Normal"/>
    <w:next w:val="Normal"/>
    <w:link w:val="Heading2Char"/>
    <w:uiPriority w:val="9"/>
    <w:semiHidden/>
    <w:unhideWhenUsed/>
    <w:qFormat/>
    <w:rsid w:val="0051090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lang w:eastAsia="en-US"/>
    </w:rPr>
  </w:style>
  <w:style w:type="paragraph" w:customStyle="1" w:styleId="FreeForm">
    <w:name w:val="Free Form"/>
    <w:rsid w:val="002F5B8D"/>
    <w:rPr>
      <w:rFonts w:eastAsia="ヒラギノ角ゴ Pro W3"/>
      <w:color w:val="000000"/>
      <w:lang w:val="en-AU" w:eastAsia="en-US"/>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eastAsia="en-US"/>
    </w:rPr>
  </w:style>
  <w:style w:type="paragraph" w:customStyle="1" w:styleId="tablecolhead">
    <w:name w:val="table col head"/>
    <w:rsid w:val="002F5B8D"/>
    <w:pPr>
      <w:jc w:val="center"/>
    </w:pPr>
    <w:rPr>
      <w:rFonts w:ascii="Times New Roman Bold" w:eastAsia="ヒラギノ角ゴ Pro W3" w:hAnsi="Times New Roman Bold"/>
      <w:color w:val="000000"/>
      <w:sz w:val="16"/>
      <w:lang w:eastAsia="en-US"/>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lang w:eastAsia="en-US"/>
    </w:rPr>
  </w:style>
  <w:style w:type="paragraph" w:customStyle="1" w:styleId="tablecopy">
    <w:name w:val="table copy"/>
    <w:rsid w:val="002F5B8D"/>
    <w:pPr>
      <w:jc w:val="both"/>
    </w:pPr>
    <w:rPr>
      <w:rFonts w:eastAsia="ヒラギノ角ゴ Pro W3"/>
      <w:color w:val="000000"/>
      <w:sz w:val="16"/>
      <w:lang w:eastAsia="en-US"/>
    </w:rPr>
  </w:style>
  <w:style w:type="paragraph" w:customStyle="1" w:styleId="tablefootnote">
    <w:name w:val="table footnote"/>
    <w:rsid w:val="002F5B8D"/>
    <w:pPr>
      <w:spacing w:before="60" w:after="30"/>
      <w:jc w:val="right"/>
    </w:pPr>
    <w:rPr>
      <w:rFonts w:eastAsia="ヒラギノ角ゴ Pro W3"/>
      <w:color w:val="000000"/>
      <w:sz w:val="12"/>
      <w:lang w:eastAsia="en-US"/>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semiHidden/>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semiHidden/>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qFormat/>
    <w:rsid w:val="00510900"/>
    <w:rPr>
      <w:rFonts w:ascii="Calibri" w:eastAsia="Calibri" w:hAnsi="Calibri"/>
      <w:sz w:val="22"/>
      <w:szCs w:val="22"/>
      <w:lang w:eastAsia="en-US"/>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lang w:eastAsia="en-US"/>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customStyle="1" w:styleId="UnresolvedMention1">
    <w:name w:val="Unresolved Mention1"/>
    <w:basedOn w:val="DefaultParagraphFont"/>
    <w:uiPriority w:val="99"/>
    <w:semiHidden/>
    <w:unhideWhenUsed/>
    <w:rsid w:val="008452CD"/>
    <w:rPr>
      <w:color w:val="605E5C"/>
      <w:shd w:val="clear" w:color="auto" w:fill="E1DFDD"/>
    </w:rPr>
  </w:style>
  <w:style w:type="paragraph" w:customStyle="1" w:styleId="MDPI62BackMatter">
    <w:name w:val="MDPI_6.2_BackMatter"/>
    <w:qFormat/>
    <w:rsid w:val="0046692B"/>
    <w:pPr>
      <w:adjustRightInd w:val="0"/>
      <w:snapToGrid w:val="0"/>
      <w:spacing w:after="120" w:line="228" w:lineRule="auto"/>
      <w:ind w:left="2608"/>
      <w:jc w:val="both"/>
    </w:pPr>
    <w:rPr>
      <w:rFonts w:ascii="Palatino Linotype" w:hAnsi="Palatino Linotype"/>
      <w:snapToGrid w:val="0"/>
      <w:color w:val="000000"/>
      <w:sz w:val="18"/>
      <w:lang w:eastAsia="en-US" w:bidi="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styleId="PlainTable2">
    <w:name w:val="Plain Table 2"/>
    <w:basedOn w:val="TableNormal"/>
    <w:uiPriority w:val="42"/>
    <w:rsid w:val="00044D7F"/>
    <w:rPr>
      <w:rFonts w:asciiTheme="minorHAnsi" w:eastAsiaTheme="minorHAnsi" w:hAnsiTheme="minorHAnsi" w:cstheme="minorBidi"/>
      <w:kern w:val="2"/>
      <w:lang w:val="en-ID" w:eastAsia="en-US"/>
      <w14:ligatures w14:val="standardContextua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7F64DF"/>
    <w:rPr>
      <w:sz w:val="16"/>
      <w:szCs w:val="16"/>
    </w:rPr>
  </w:style>
  <w:style w:type="paragraph" w:styleId="CommentText">
    <w:name w:val="annotation text"/>
    <w:basedOn w:val="Normal"/>
    <w:link w:val="CommentTextChar"/>
    <w:uiPriority w:val="99"/>
    <w:unhideWhenUsed/>
    <w:rsid w:val="007F64DF"/>
    <w:rPr>
      <w:sz w:val="20"/>
      <w:szCs w:val="20"/>
    </w:rPr>
  </w:style>
  <w:style w:type="character" w:customStyle="1" w:styleId="CommentTextChar">
    <w:name w:val="Comment Text Char"/>
    <w:basedOn w:val="DefaultParagraphFont"/>
    <w:link w:val="CommentText"/>
    <w:uiPriority w:val="99"/>
    <w:rsid w:val="007F64DF"/>
    <w:rPr>
      <w:sz w:val="20"/>
      <w:szCs w:val="20"/>
      <w:lang w:eastAsia="en-US"/>
    </w:rPr>
  </w:style>
  <w:style w:type="paragraph" w:styleId="CommentSubject">
    <w:name w:val="annotation subject"/>
    <w:basedOn w:val="CommentText"/>
    <w:next w:val="CommentText"/>
    <w:link w:val="CommentSubjectChar"/>
    <w:uiPriority w:val="99"/>
    <w:semiHidden/>
    <w:unhideWhenUsed/>
    <w:rsid w:val="007F64DF"/>
    <w:rPr>
      <w:b/>
      <w:bCs/>
    </w:rPr>
  </w:style>
  <w:style w:type="character" w:customStyle="1" w:styleId="CommentSubjectChar">
    <w:name w:val="Comment Subject Char"/>
    <w:basedOn w:val="CommentTextChar"/>
    <w:link w:val="CommentSubject"/>
    <w:uiPriority w:val="99"/>
    <w:semiHidden/>
    <w:rsid w:val="007F64DF"/>
    <w:rPr>
      <w:b/>
      <w:bCs/>
      <w:sz w:val="20"/>
      <w:szCs w:val="20"/>
      <w:lang w:eastAsia="en-US"/>
    </w:rPr>
  </w:style>
  <w:style w:type="paragraph" w:styleId="NormalWeb">
    <w:name w:val="Normal (Web)"/>
    <w:basedOn w:val="Normal"/>
    <w:uiPriority w:val="99"/>
    <w:semiHidden/>
    <w:unhideWhenUsed/>
    <w:rsid w:val="007D2DEB"/>
  </w:style>
  <w:style w:type="paragraph" w:customStyle="1" w:styleId="Body">
    <w:name w:val="Body"/>
    <w:qFormat/>
    <w:rsid w:val="006F4177"/>
    <w:rPr>
      <w:rFonts w:ascii="Calibri" w:eastAsia="Calibri" w:hAnsi="Calibri" w:cs="Calibri"/>
      <w:color w:val="000000"/>
      <w:kern w:val="2"/>
      <w:u w:color="000000"/>
      <w:lang w:val="en" w:eastAsia="zh-CN"/>
    </w:rPr>
  </w:style>
  <w:style w:type="character" w:styleId="UnresolvedMention">
    <w:name w:val="Unresolved Mention"/>
    <w:basedOn w:val="DefaultParagraphFont"/>
    <w:uiPriority w:val="99"/>
    <w:semiHidden/>
    <w:unhideWhenUsed/>
    <w:rsid w:val="00CA32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07159">
      <w:bodyDiv w:val="1"/>
      <w:marLeft w:val="0"/>
      <w:marRight w:val="0"/>
      <w:marTop w:val="0"/>
      <w:marBottom w:val="0"/>
      <w:divBdr>
        <w:top w:val="none" w:sz="0" w:space="0" w:color="auto"/>
        <w:left w:val="none" w:sz="0" w:space="0" w:color="auto"/>
        <w:bottom w:val="none" w:sz="0" w:space="0" w:color="auto"/>
        <w:right w:val="none" w:sz="0" w:space="0" w:color="auto"/>
      </w:divBdr>
    </w:div>
    <w:div w:id="101343664">
      <w:bodyDiv w:val="1"/>
      <w:marLeft w:val="0"/>
      <w:marRight w:val="0"/>
      <w:marTop w:val="0"/>
      <w:marBottom w:val="0"/>
      <w:divBdr>
        <w:top w:val="none" w:sz="0" w:space="0" w:color="auto"/>
        <w:left w:val="none" w:sz="0" w:space="0" w:color="auto"/>
        <w:bottom w:val="none" w:sz="0" w:space="0" w:color="auto"/>
        <w:right w:val="none" w:sz="0" w:space="0" w:color="auto"/>
      </w:divBdr>
    </w:div>
    <w:div w:id="196509682">
      <w:bodyDiv w:val="1"/>
      <w:marLeft w:val="0"/>
      <w:marRight w:val="0"/>
      <w:marTop w:val="0"/>
      <w:marBottom w:val="0"/>
      <w:divBdr>
        <w:top w:val="none" w:sz="0" w:space="0" w:color="auto"/>
        <w:left w:val="none" w:sz="0" w:space="0" w:color="auto"/>
        <w:bottom w:val="none" w:sz="0" w:space="0" w:color="auto"/>
        <w:right w:val="none" w:sz="0" w:space="0" w:color="auto"/>
      </w:divBdr>
    </w:div>
    <w:div w:id="245506084">
      <w:bodyDiv w:val="1"/>
      <w:marLeft w:val="0"/>
      <w:marRight w:val="0"/>
      <w:marTop w:val="0"/>
      <w:marBottom w:val="0"/>
      <w:divBdr>
        <w:top w:val="none" w:sz="0" w:space="0" w:color="auto"/>
        <w:left w:val="none" w:sz="0" w:space="0" w:color="auto"/>
        <w:bottom w:val="none" w:sz="0" w:space="0" w:color="auto"/>
        <w:right w:val="none" w:sz="0" w:space="0" w:color="auto"/>
      </w:divBdr>
    </w:div>
    <w:div w:id="277303352">
      <w:bodyDiv w:val="1"/>
      <w:marLeft w:val="0"/>
      <w:marRight w:val="0"/>
      <w:marTop w:val="0"/>
      <w:marBottom w:val="0"/>
      <w:divBdr>
        <w:top w:val="none" w:sz="0" w:space="0" w:color="auto"/>
        <w:left w:val="none" w:sz="0" w:space="0" w:color="auto"/>
        <w:bottom w:val="none" w:sz="0" w:space="0" w:color="auto"/>
        <w:right w:val="none" w:sz="0" w:space="0" w:color="auto"/>
      </w:divBdr>
    </w:div>
    <w:div w:id="462433072">
      <w:bodyDiv w:val="1"/>
      <w:marLeft w:val="0"/>
      <w:marRight w:val="0"/>
      <w:marTop w:val="0"/>
      <w:marBottom w:val="0"/>
      <w:divBdr>
        <w:top w:val="none" w:sz="0" w:space="0" w:color="auto"/>
        <w:left w:val="none" w:sz="0" w:space="0" w:color="auto"/>
        <w:bottom w:val="none" w:sz="0" w:space="0" w:color="auto"/>
        <w:right w:val="none" w:sz="0" w:space="0" w:color="auto"/>
      </w:divBdr>
    </w:div>
    <w:div w:id="1583444004">
      <w:bodyDiv w:val="1"/>
      <w:marLeft w:val="0"/>
      <w:marRight w:val="0"/>
      <w:marTop w:val="0"/>
      <w:marBottom w:val="0"/>
      <w:divBdr>
        <w:top w:val="none" w:sz="0" w:space="0" w:color="auto"/>
        <w:left w:val="none" w:sz="0" w:space="0" w:color="auto"/>
        <w:bottom w:val="none" w:sz="0" w:space="0" w:color="auto"/>
        <w:right w:val="none" w:sz="0" w:space="0" w:color="auto"/>
      </w:divBdr>
    </w:div>
    <w:div w:id="1905872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jpe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chart" Target="charts/chart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image" Target="media/image8.jpeg"/><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hyperlink" Target="https://doi.org/10.29303/jppipa.v12i4.14568" TargetMode="External"/><Relationship Id="rId14" Type="http://schemas.openxmlformats.org/officeDocument/2006/relationships/header" Target="header2.xml"/><Relationship Id="rId22" Type="http://schemas.openxmlformats.org/officeDocument/2006/relationships/chart" Target="charts/chart4.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hyperlink" Target="https://doi.org/10.29303/jppipa.v12i4.14568"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b2ecbe754080bc55/Documents/01_SKRIPSI/SKRIPSI/Data%20Penelitian/DATA%20(BWS)/UJI%20KONSISTENSI%20DATA%20CH.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b2ecbe754080bc55/Documents/01_SKRIPSI/SKRIPSI/Data%20Penelitian/DATA%20(BWS)/UJI%20KONSISTENSI%20DATA%20CH.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b2ecbe754080bc55/Documents/01_SKRIPSI/SKRIPSI/Data%20Penelitian/DATA%20(BWS)/UJI%20KONSISTENSI%20DATA%20CH.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b2ecbe754080bc55/Documents/01_SKRIPSI/SKRIPSI/Data%20Penelitian/DATA%20(BWS)/UJI%20KONSISTENSI%20DATA%20CH.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b2ecbe754080bc55/Documents/01_SKRIPSI/SKRIPSI/Data%20Penelitian/DATA%20(BWS)/UJI%20KONSISTENSI%20DATA%20CH.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sz="900"/>
              <a:t>Double Mass Curve</a:t>
            </a:r>
          </a:p>
        </c:rich>
      </c:tx>
      <c:layout>
        <c:manualLayout>
          <c:xMode val="edge"/>
          <c:yMode val="edge"/>
          <c:x val="0.36233901977055766"/>
          <c:y val="3.45303867403314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2238211531342067"/>
          <c:y val="0.18387737940524423"/>
          <c:w val="0.70743131624548516"/>
          <c:h val="0.5567111429965953"/>
        </c:manualLayout>
      </c:layout>
      <c:scatterChart>
        <c:scatterStyle val="lineMarker"/>
        <c:varyColors val="0"/>
        <c:ser>
          <c:idx val="0"/>
          <c:order val="0"/>
          <c:tx>
            <c:v>Kurva Massa Ganda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'St.2 KabGor'!$Q$7:$Q$16</c:f>
              <c:numCache>
                <c:formatCode>General</c:formatCode>
                <c:ptCount val="10"/>
                <c:pt idx="0">
                  <c:v>1078.3636363636363</c:v>
                </c:pt>
                <c:pt idx="1">
                  <c:v>2718.181818181818</c:v>
                </c:pt>
                <c:pt idx="2">
                  <c:v>4617.636363636364</c:v>
                </c:pt>
                <c:pt idx="3">
                  <c:v>6466.545454545455</c:v>
                </c:pt>
                <c:pt idx="4">
                  <c:v>7447.727272727273</c:v>
                </c:pt>
                <c:pt idx="5">
                  <c:v>9040.454545454546</c:v>
                </c:pt>
                <c:pt idx="6">
                  <c:v>10891.181818181818</c:v>
                </c:pt>
                <c:pt idx="7">
                  <c:v>12789.181818181818</c:v>
                </c:pt>
                <c:pt idx="8">
                  <c:v>14163.636363636364</c:v>
                </c:pt>
                <c:pt idx="9">
                  <c:v>15992.363636363636</c:v>
                </c:pt>
              </c:numCache>
            </c:numRef>
          </c:xVal>
          <c:yVal>
            <c:numRef>
              <c:f>'St.2 KabGor'!$P$7:$P$16</c:f>
              <c:numCache>
                <c:formatCode>General</c:formatCode>
                <c:ptCount val="10"/>
                <c:pt idx="0">
                  <c:v>1465</c:v>
                </c:pt>
                <c:pt idx="1">
                  <c:v>3277</c:v>
                </c:pt>
                <c:pt idx="2">
                  <c:v>5293</c:v>
                </c:pt>
                <c:pt idx="3">
                  <c:v>7218</c:v>
                </c:pt>
                <c:pt idx="4">
                  <c:v>8449</c:v>
                </c:pt>
                <c:pt idx="5">
                  <c:v>10660</c:v>
                </c:pt>
                <c:pt idx="6">
                  <c:v>12854</c:v>
                </c:pt>
                <c:pt idx="7">
                  <c:v>15163</c:v>
                </c:pt>
                <c:pt idx="8">
                  <c:v>17008</c:v>
                </c:pt>
                <c:pt idx="9">
                  <c:v>18525</c:v>
                </c:pt>
              </c:numCache>
            </c:numRef>
          </c:yVal>
          <c:smooth val="0"/>
          <c:extLst>
            <c:ext xmlns:c16="http://schemas.microsoft.com/office/drawing/2014/chart" uri="{C3380CC4-5D6E-409C-BE32-E72D297353CC}">
              <c16:uniqueId val="{00000000-D8BB-4D71-B870-1C897009A221}"/>
            </c:ext>
          </c:extLst>
        </c:ser>
        <c:dLbls>
          <c:showLegendKey val="0"/>
          <c:showVal val="0"/>
          <c:showCatName val="0"/>
          <c:showSerName val="0"/>
          <c:showPercent val="0"/>
          <c:showBubbleSize val="0"/>
        </c:dLbls>
        <c:axId val="260648400"/>
        <c:axId val="260648792"/>
      </c:scatterChart>
      <c:valAx>
        <c:axId val="26064840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Reference (mm)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8792"/>
        <c:crosses val="autoZero"/>
        <c:crossBetween val="midCat"/>
      </c:valAx>
      <c:valAx>
        <c:axId val="2606487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St. A (mm)</a:t>
                </a:r>
              </a:p>
            </c:rich>
          </c:tx>
          <c:layout>
            <c:manualLayout>
              <c:xMode val="edge"/>
              <c:yMode val="edge"/>
              <c:x val="9.9090874510251135E-5"/>
              <c:y val="9.857711903659101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8400"/>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a:t>Double Mass Curve</a:t>
            </a:r>
          </a:p>
        </c:rich>
      </c:tx>
      <c:layout>
        <c:manualLayout>
          <c:xMode val="edge"/>
          <c:yMode val="edge"/>
          <c:x val="0.36185229947691711"/>
          <c:y val="0"/>
        </c:manualLayout>
      </c:layout>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24810445431895159"/>
          <c:y val="0.15186381363346532"/>
          <c:w val="0.68071534523105859"/>
          <c:h val="0.55933923513798067"/>
        </c:manualLayout>
      </c:layout>
      <c:scatterChart>
        <c:scatterStyle val="lineMarker"/>
        <c:varyColors val="0"/>
        <c:ser>
          <c:idx val="0"/>
          <c:order val="0"/>
          <c:tx>
            <c:v>Kurva Massa Ganda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'St.3 BonBol'!$M$7:$M$16</c:f>
              <c:numCache>
                <c:formatCode>General</c:formatCode>
                <c:ptCount val="10"/>
                <c:pt idx="0">
                  <c:v>1258.7142857142858</c:v>
                </c:pt>
                <c:pt idx="1">
                  <c:v>3097.4285714285716</c:v>
                </c:pt>
                <c:pt idx="2">
                  <c:v>5126.5714285714284</c:v>
                </c:pt>
                <c:pt idx="3">
                  <c:v>6747.7142857142853</c:v>
                </c:pt>
                <c:pt idx="4">
                  <c:v>8045</c:v>
                </c:pt>
                <c:pt idx="5">
                  <c:v>10617.285714285714</c:v>
                </c:pt>
                <c:pt idx="6">
                  <c:v>12837.142857142857</c:v>
                </c:pt>
                <c:pt idx="7">
                  <c:v>15366.571428571428</c:v>
                </c:pt>
                <c:pt idx="8">
                  <c:v>17242.285714285714</c:v>
                </c:pt>
                <c:pt idx="9">
                  <c:v>20453.142857142855</c:v>
                </c:pt>
              </c:numCache>
            </c:numRef>
          </c:xVal>
          <c:yVal>
            <c:numRef>
              <c:f>'St.3 BonBol'!$L$7:$L$16</c:f>
              <c:numCache>
                <c:formatCode>General</c:formatCode>
                <c:ptCount val="10"/>
                <c:pt idx="0">
                  <c:v>2861</c:v>
                </c:pt>
                <c:pt idx="1">
                  <c:v>5162</c:v>
                </c:pt>
                <c:pt idx="2">
                  <c:v>7734</c:v>
                </c:pt>
                <c:pt idx="3">
                  <c:v>9861</c:v>
                </c:pt>
                <c:pt idx="4">
                  <c:v>11304</c:v>
                </c:pt>
                <c:pt idx="5">
                  <c:v>14342</c:v>
                </c:pt>
                <c:pt idx="6">
                  <c:v>17054</c:v>
                </c:pt>
                <c:pt idx="7">
                  <c:v>19657</c:v>
                </c:pt>
                <c:pt idx="8">
                  <c:v>21319</c:v>
                </c:pt>
                <c:pt idx="9">
                  <c:v>24380</c:v>
                </c:pt>
              </c:numCache>
            </c:numRef>
          </c:yVal>
          <c:smooth val="0"/>
          <c:extLst>
            <c:ext xmlns:c16="http://schemas.microsoft.com/office/drawing/2014/chart" uri="{C3380CC4-5D6E-409C-BE32-E72D297353CC}">
              <c16:uniqueId val="{00000000-1EC8-46D3-9764-3BDAE3C44D84}"/>
            </c:ext>
          </c:extLst>
        </c:ser>
        <c:dLbls>
          <c:showLegendKey val="0"/>
          <c:showVal val="0"/>
          <c:showCatName val="0"/>
          <c:showSerName val="0"/>
          <c:showPercent val="0"/>
          <c:showBubbleSize val="0"/>
        </c:dLbls>
        <c:axId val="260646048"/>
        <c:axId val="260649576"/>
      </c:scatterChart>
      <c:valAx>
        <c:axId val="2606460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Reference (mm)</a:t>
                </a:r>
              </a:p>
            </c:rich>
          </c:tx>
          <c:layout>
            <c:manualLayout>
              <c:xMode val="edge"/>
              <c:yMode val="edge"/>
              <c:x val="0.2361546499477534"/>
              <c:y val="0.873464268293896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9576"/>
        <c:crosses val="autoZero"/>
        <c:crossBetween val="midCat"/>
      </c:valAx>
      <c:valAx>
        <c:axId val="2606495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St. A (mm)</a:t>
                </a:r>
              </a:p>
            </c:rich>
          </c:tx>
          <c:layout>
            <c:manualLayout>
              <c:xMode val="edge"/>
              <c:yMode val="edge"/>
              <c:x val="5.0584469935663276E-3"/>
              <c:y val="9.0947949688107169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6048"/>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sz="900"/>
              <a:t>Double Mass Curve</a:t>
            </a:r>
          </a:p>
        </c:rich>
      </c:tx>
      <c:layout>
        <c:manualLayout>
          <c:xMode val="edge"/>
          <c:yMode val="edge"/>
          <c:x val="0.37060156340300615"/>
          <c:y val="4.2669917708015849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24072257909245359"/>
          <c:y val="0.16272559852670354"/>
          <c:w val="0.68929954035254948"/>
          <c:h val="0.53020151209705146"/>
        </c:manualLayout>
      </c:layout>
      <c:scatterChart>
        <c:scatterStyle val="lineMarker"/>
        <c:varyColors val="0"/>
        <c:ser>
          <c:idx val="0"/>
          <c:order val="0"/>
          <c:tx>
            <c:v>Kurva Massa Ganda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'St.4 Boalemo'!$M$7:$M$16</c:f>
              <c:numCache>
                <c:formatCode>General</c:formatCode>
                <c:ptCount val="10"/>
                <c:pt idx="0">
                  <c:v>1045.5714285714287</c:v>
                </c:pt>
                <c:pt idx="1">
                  <c:v>2593.4285714285716</c:v>
                </c:pt>
                <c:pt idx="2">
                  <c:v>4472.7142857142862</c:v>
                </c:pt>
                <c:pt idx="3">
                  <c:v>6032.5714285714294</c:v>
                </c:pt>
                <c:pt idx="4">
                  <c:v>7379.2857142857156</c:v>
                </c:pt>
                <c:pt idx="5">
                  <c:v>8927.2857142857156</c:v>
                </c:pt>
                <c:pt idx="6">
                  <c:v>10614.571428571429</c:v>
                </c:pt>
                <c:pt idx="7">
                  <c:v>12327.428571428572</c:v>
                </c:pt>
                <c:pt idx="8">
                  <c:v>13869.857142857143</c:v>
                </c:pt>
                <c:pt idx="9">
                  <c:v>15446</c:v>
                </c:pt>
              </c:numCache>
            </c:numRef>
          </c:xVal>
          <c:yVal>
            <c:numRef>
              <c:f>'St.4 Boalemo'!$L$7:$L$15</c:f>
              <c:numCache>
                <c:formatCode>General</c:formatCode>
                <c:ptCount val="9"/>
                <c:pt idx="0">
                  <c:v>1455</c:v>
                </c:pt>
                <c:pt idx="1">
                  <c:v>3588</c:v>
                </c:pt>
                <c:pt idx="2">
                  <c:v>5300</c:v>
                </c:pt>
                <c:pt idx="3">
                  <c:v>7272</c:v>
                </c:pt>
                <c:pt idx="4">
                  <c:v>8813</c:v>
                </c:pt>
                <c:pt idx="5">
                  <c:v>11027</c:v>
                </c:pt>
                <c:pt idx="6">
                  <c:v>13591</c:v>
                </c:pt>
                <c:pt idx="7">
                  <c:v>16073</c:v>
                </c:pt>
                <c:pt idx="8">
                  <c:v>17921</c:v>
                </c:pt>
              </c:numCache>
            </c:numRef>
          </c:yVal>
          <c:smooth val="0"/>
          <c:extLst>
            <c:ext xmlns:c16="http://schemas.microsoft.com/office/drawing/2014/chart" uri="{C3380CC4-5D6E-409C-BE32-E72D297353CC}">
              <c16:uniqueId val="{00000000-1CA9-44FA-A4DF-5BEF2657CE44}"/>
            </c:ext>
          </c:extLst>
        </c:ser>
        <c:dLbls>
          <c:showLegendKey val="0"/>
          <c:showVal val="0"/>
          <c:showCatName val="0"/>
          <c:showSerName val="0"/>
          <c:showPercent val="0"/>
          <c:showBubbleSize val="0"/>
        </c:dLbls>
        <c:axId val="260643696"/>
        <c:axId val="260642520"/>
      </c:scatterChart>
      <c:valAx>
        <c:axId val="260643696"/>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Reference (mm)</a:t>
                </a:r>
              </a:p>
            </c:rich>
          </c:tx>
          <c:layout>
            <c:manualLayout>
              <c:xMode val="edge"/>
              <c:yMode val="edge"/>
              <c:x val="0.18813593404383672"/>
              <c:y val="0.8325158176446019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2520"/>
        <c:crosses val="autoZero"/>
        <c:crossBetween val="midCat"/>
      </c:valAx>
      <c:valAx>
        <c:axId val="2606425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St. A (mm)</a:t>
                </a:r>
              </a:p>
            </c:rich>
          </c:tx>
          <c:layout>
            <c:manualLayout>
              <c:xMode val="edge"/>
              <c:yMode val="edge"/>
              <c:x val="5.2451090672489464E-3"/>
              <c:y val="0.1298039596902239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3696"/>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sz="900"/>
              <a:t>Double Mass Curve</a:t>
            </a:r>
          </a:p>
        </c:rich>
      </c:tx>
      <c:layout>
        <c:manualLayout>
          <c:xMode val="edge"/>
          <c:yMode val="edge"/>
          <c:x val="0.36233901977055766"/>
          <c:y val="3.4530386740331494E-2"/>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2238211531342067"/>
          <c:y val="0.18387737940524423"/>
          <c:w val="0.70743131624548516"/>
          <c:h val="0.5567111429965953"/>
        </c:manualLayout>
      </c:layout>
      <c:scatterChart>
        <c:scatterStyle val="lineMarker"/>
        <c:varyColors val="0"/>
        <c:ser>
          <c:idx val="0"/>
          <c:order val="0"/>
          <c:tx>
            <c:v>Kurva Massa Ganda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'St.2 KabGor'!$Q$7:$Q$16</c:f>
              <c:numCache>
                <c:formatCode>General</c:formatCode>
                <c:ptCount val="10"/>
                <c:pt idx="0">
                  <c:v>1078.3636363636363</c:v>
                </c:pt>
                <c:pt idx="1">
                  <c:v>2718.181818181818</c:v>
                </c:pt>
                <c:pt idx="2">
                  <c:v>4617.636363636364</c:v>
                </c:pt>
                <c:pt idx="3">
                  <c:v>6466.545454545455</c:v>
                </c:pt>
                <c:pt idx="4">
                  <c:v>7447.727272727273</c:v>
                </c:pt>
                <c:pt idx="5">
                  <c:v>9040.454545454546</c:v>
                </c:pt>
                <c:pt idx="6">
                  <c:v>10891.181818181818</c:v>
                </c:pt>
                <c:pt idx="7">
                  <c:v>12789.181818181818</c:v>
                </c:pt>
                <c:pt idx="8">
                  <c:v>14163.636363636364</c:v>
                </c:pt>
                <c:pt idx="9">
                  <c:v>15992.363636363636</c:v>
                </c:pt>
              </c:numCache>
            </c:numRef>
          </c:xVal>
          <c:yVal>
            <c:numRef>
              <c:f>'St.2 KabGor'!$P$7:$P$16</c:f>
              <c:numCache>
                <c:formatCode>General</c:formatCode>
                <c:ptCount val="10"/>
                <c:pt idx="0">
                  <c:v>1465</c:v>
                </c:pt>
                <c:pt idx="1">
                  <c:v>3277</c:v>
                </c:pt>
                <c:pt idx="2">
                  <c:v>5293</c:v>
                </c:pt>
                <c:pt idx="3">
                  <c:v>7218</c:v>
                </c:pt>
                <c:pt idx="4">
                  <c:v>8449</c:v>
                </c:pt>
                <c:pt idx="5">
                  <c:v>10660</c:v>
                </c:pt>
                <c:pt idx="6">
                  <c:v>12854</c:v>
                </c:pt>
                <c:pt idx="7">
                  <c:v>15163</c:v>
                </c:pt>
                <c:pt idx="8">
                  <c:v>17008</c:v>
                </c:pt>
                <c:pt idx="9">
                  <c:v>18525</c:v>
                </c:pt>
              </c:numCache>
            </c:numRef>
          </c:yVal>
          <c:smooth val="0"/>
          <c:extLst>
            <c:ext xmlns:c16="http://schemas.microsoft.com/office/drawing/2014/chart" uri="{C3380CC4-5D6E-409C-BE32-E72D297353CC}">
              <c16:uniqueId val="{00000000-D8BB-4D71-B870-1C897009A221}"/>
            </c:ext>
          </c:extLst>
        </c:ser>
        <c:dLbls>
          <c:showLegendKey val="0"/>
          <c:showVal val="0"/>
          <c:showCatName val="0"/>
          <c:showSerName val="0"/>
          <c:showPercent val="0"/>
          <c:showBubbleSize val="0"/>
        </c:dLbls>
        <c:axId val="260642912"/>
        <c:axId val="376975552"/>
      </c:scatterChart>
      <c:valAx>
        <c:axId val="2606429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Reference (mm)</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376975552"/>
        <c:crosses val="autoZero"/>
        <c:crossBetween val="midCat"/>
      </c:valAx>
      <c:valAx>
        <c:axId val="376975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St. A (mm)</a:t>
                </a:r>
              </a:p>
            </c:rich>
          </c:tx>
          <c:layout>
            <c:manualLayout>
              <c:xMode val="edge"/>
              <c:yMode val="edge"/>
              <c:x val="9.9090874510251135E-5"/>
              <c:y val="9.8577119036591013E-2"/>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260642912"/>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r>
              <a:rPr lang="en-ID" sz="900"/>
              <a:t>Double Mass Curve</a:t>
            </a:r>
          </a:p>
        </c:rich>
      </c:tx>
      <c:layout>
        <c:manualLayout>
          <c:xMode val="edge"/>
          <c:yMode val="edge"/>
          <c:x val="0.3598809847044982"/>
          <c:y val="0"/>
        </c:manualLayout>
      </c:layout>
      <c:overlay val="0"/>
      <c:spPr>
        <a:noFill/>
        <a:ln>
          <a:noFill/>
        </a:ln>
        <a:effectLst/>
      </c:spPr>
      <c:txPr>
        <a:bodyPr rot="0" spcFirstLastPara="1" vertOverflow="ellipsis" vert="horz" wrap="square" anchor="ctr" anchorCtr="1"/>
        <a:lstStyle/>
        <a:p>
          <a:pPr>
            <a:defRPr sz="900" b="0" i="0" u="none" strike="noStrike" kern="1200" spc="0" baseline="0">
              <a:solidFill>
                <a:schemeClr val="tx1">
                  <a:lumMod val="65000"/>
                  <a:lumOff val="35000"/>
                </a:schemeClr>
              </a:solidFill>
              <a:latin typeface="Book Antiqua" panose="02040602050305030304" pitchFamily="18" charset="0"/>
              <a:ea typeface="+mn-ea"/>
              <a:cs typeface="+mn-cs"/>
            </a:defRPr>
          </a:pPr>
          <a:endParaRPr lang="en-US"/>
        </a:p>
      </c:txPr>
    </c:title>
    <c:autoTitleDeleted val="0"/>
    <c:plotArea>
      <c:layout>
        <c:manualLayout>
          <c:layoutTarget val="inner"/>
          <c:xMode val="edge"/>
          <c:yMode val="edge"/>
          <c:x val="0.22380508288062625"/>
          <c:y val="0.1534497043291275"/>
          <c:w val="0.70621703656437695"/>
          <c:h val="0.57083768143439906"/>
        </c:manualLayout>
      </c:layout>
      <c:scatterChart>
        <c:scatterStyle val="lineMarker"/>
        <c:varyColors val="0"/>
        <c:ser>
          <c:idx val="0"/>
          <c:order val="0"/>
          <c:tx>
            <c:v>Kurva Massa Ganda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'St.5 Pohuwato'!$M$24:$M$33</c:f>
              <c:numCache>
                <c:formatCode>General</c:formatCode>
                <c:ptCount val="10"/>
                <c:pt idx="0">
                  <c:v>1142.8571428571429</c:v>
                </c:pt>
                <c:pt idx="1">
                  <c:v>2646.5714285714284</c:v>
                </c:pt>
                <c:pt idx="2">
                  <c:v>4243.4285714285716</c:v>
                </c:pt>
                <c:pt idx="3">
                  <c:v>5656.1428571428569</c:v>
                </c:pt>
                <c:pt idx="4">
                  <c:v>7121.1428571428569</c:v>
                </c:pt>
                <c:pt idx="5">
                  <c:v>8936.7142857142862</c:v>
                </c:pt>
                <c:pt idx="6">
                  <c:v>10736.714285714286</c:v>
                </c:pt>
                <c:pt idx="7">
                  <c:v>12715.142857142857</c:v>
                </c:pt>
                <c:pt idx="8">
                  <c:v>14027.714285714286</c:v>
                </c:pt>
                <c:pt idx="9">
                  <c:v>15829.714285714286</c:v>
                </c:pt>
              </c:numCache>
            </c:numRef>
          </c:xVal>
          <c:yVal>
            <c:numRef>
              <c:f>'St.5 Pohuwato'!$L$24:$L$32</c:f>
              <c:numCache>
                <c:formatCode>General</c:formatCode>
                <c:ptCount val="9"/>
                <c:pt idx="0">
                  <c:v>353.37483632010179</c:v>
                </c:pt>
                <c:pt idx="1">
                  <c:v>1694.201578809533</c:v>
                </c:pt>
                <c:pt idx="2">
                  <c:v>3206.893860600846</c:v>
                </c:pt>
                <c:pt idx="3">
                  <c:v>5270.893860600846</c:v>
                </c:pt>
                <c:pt idx="4">
                  <c:v>6872.893860600846</c:v>
                </c:pt>
                <c:pt idx="5">
                  <c:v>8600.8938606008451</c:v>
                </c:pt>
                <c:pt idx="6">
                  <c:v>10050.893860600845</c:v>
                </c:pt>
                <c:pt idx="7">
                  <c:v>11725.893860600845</c:v>
                </c:pt>
                <c:pt idx="8">
                  <c:v>13125.893860600845</c:v>
                </c:pt>
              </c:numCache>
            </c:numRef>
          </c:yVal>
          <c:smooth val="0"/>
          <c:extLst>
            <c:ext xmlns:c16="http://schemas.microsoft.com/office/drawing/2014/chart" uri="{C3380CC4-5D6E-409C-BE32-E72D297353CC}">
              <c16:uniqueId val="{00000000-1BD9-431F-9452-05A5D0D829E3}"/>
            </c:ext>
          </c:extLst>
        </c:ser>
        <c:dLbls>
          <c:showLegendKey val="0"/>
          <c:showVal val="0"/>
          <c:showCatName val="0"/>
          <c:showSerName val="0"/>
          <c:showPercent val="0"/>
          <c:showBubbleSize val="0"/>
        </c:dLbls>
        <c:axId val="376975944"/>
        <c:axId val="376976336"/>
      </c:scatterChart>
      <c:valAx>
        <c:axId val="376975944"/>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CH Kumulatif Tahunan St. Referensi (mm)</a:t>
                </a:r>
              </a:p>
            </c:rich>
          </c:tx>
          <c:layout>
            <c:manualLayout>
              <c:xMode val="edge"/>
              <c:yMode val="edge"/>
              <c:x val="0.2283531067765936"/>
              <c:y val="0.89735564304461946"/>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376976336"/>
        <c:crosses val="autoZero"/>
        <c:crossBetween val="midCat"/>
      </c:valAx>
      <c:valAx>
        <c:axId val="3769763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r>
                  <a:rPr lang="en-ID"/>
                  <a:t>Annual Cumulative CH St. A (mm)</a:t>
                </a:r>
              </a:p>
            </c:rich>
          </c:tx>
          <c:layout>
            <c:manualLayout>
              <c:xMode val="edge"/>
              <c:yMode val="edge"/>
              <c:x val="4.6024549961557869E-4"/>
              <c:y val="0.11328906175884643"/>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n-US"/>
          </a:p>
        </c:txPr>
        <c:crossAx val="376975944"/>
        <c:crosses val="autoZero"/>
        <c:crossBetween val="midCat"/>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900">
          <a:latin typeface="Book Antiqua" panose="0204060205030503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u2kcnIxv9rqQP4Hxr9wNy7gmjg==">CgMxLjA4AHIhMUFINmgxVVVvc0F2ZER6ZVJ4ZDMwYkRxdE9vOEwzWFVT</go:docsCustomData>
</go:gDocsCustomXmlDataStorage>
</file>

<file path=customXml/itemProps1.xml><?xml version="1.0" encoding="utf-8"?>
<ds:datastoreItem xmlns:ds="http://schemas.openxmlformats.org/officeDocument/2006/customXml" ds:itemID="{20E3B9AE-7797-42B0-BB8B-758E6648349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10</Pages>
  <Words>25062</Words>
  <Characters>142857</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FK Unram3</cp:lastModifiedBy>
  <cp:revision>16</cp:revision>
  <cp:lastPrinted>2026-05-03T10:01:00Z</cp:lastPrinted>
  <dcterms:created xsi:type="dcterms:W3CDTF">2026-05-03T02:28:00Z</dcterms:created>
  <dcterms:modified xsi:type="dcterms:W3CDTF">2026-05-05T09:22:00Z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1c086615020271d081be92a8f7ce9349dffb99220fd73dab451aa78caa67a134</vt:lpwstr>
  </property>
  <property fmtid="{D5CDD505-2E9C-101B-9397-08002B2CF9AE}" pid="3" name="Mendeley Document_1">
    <vt:lpwstr>True</vt:lpwstr>
  </property>
  <property fmtid="{D5CDD505-2E9C-101B-9397-08002B2CF9AE}" pid="4" name="Mendeley Unique User Id_1">
    <vt:lpwstr>bf16c366-13fb-35e6-84a3-00230c2d49e9</vt:lpwstr>
  </property>
  <property fmtid="{D5CDD505-2E9C-101B-9397-08002B2CF9AE}" pid="5" name="Mendeley Citation Style_1">
    <vt:lpwstr>http://www.zotero.org/styles/apa</vt:lpwstr>
  </property>
  <property fmtid="{D5CDD505-2E9C-101B-9397-08002B2CF9AE}" pid="6" name="Mendeley Recent Style Id 0_1">
    <vt:lpwstr>http://www.zotero.org/styles/american-medical-association</vt:lpwstr>
  </property>
  <property fmtid="{D5CDD505-2E9C-101B-9397-08002B2CF9AE}" pid="7" name="Mendeley Recent Style Name 0_1">
    <vt:lpwstr>AMA Manual of Style 11th edition</vt:lpwstr>
  </property>
  <property fmtid="{D5CDD505-2E9C-101B-9397-08002B2CF9AE}" pid="8" name="Mendeley Recent Style Id 1_1">
    <vt:lpwstr>http://www.zotero.org/styles/apa</vt:lpwstr>
  </property>
  <property fmtid="{D5CDD505-2E9C-101B-9397-08002B2CF9AE}" pid="9" name="Mendeley Recent Style Name 1_1">
    <vt:lpwstr>APA Style 7th edition</vt:lpwstr>
  </property>
  <property fmtid="{D5CDD505-2E9C-101B-9397-08002B2CF9AE}" pid="10" name="Mendeley Recent Style Id 2_1">
    <vt:lpwstr>http://www.zotero.org/styles/american-political-science-association</vt:lpwstr>
  </property>
  <property fmtid="{D5CDD505-2E9C-101B-9397-08002B2CF9AE}" pid="11" name="Mendeley Recent Style Name 2_1">
    <vt:lpwstr>APSA Style Manual revised 2018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ASA Style Guide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18th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(author-date/Harvard)</vt:lpwstr>
  </property>
  <property fmtid="{D5CDD505-2E9C-101B-9397-08002B2CF9AE}" pid="18" name="Mendeley Recent Style Id 6_1">
    <vt:lpwstr>http://www.zotero.org/styles/ieee</vt:lpwstr>
  </property>
  <property fmtid="{D5CDD505-2E9C-101B-9397-08002B2CF9AE}" pid="19" name="Mendeley Recent Style Name 6_1">
    <vt:lpwstr>IEEE Reference Guide version 11.29.2023</vt:lpwstr>
  </property>
  <property fmtid="{D5CDD505-2E9C-101B-9397-08002B2CF9AE}" pid="20" name="Mendeley Recent Style Id 7_1">
    <vt:lpwstr>http://www.zotero.org/styles/modern-language-association</vt:lpwstr>
  </property>
  <property fmtid="{D5CDD505-2E9C-101B-9397-08002B2CF9AE}" pid="21" name="Mendeley Recent Style Name 7_1">
    <vt:lpwstr>MLA Handbook 9th edition (in-text citations)</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